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9FC1" w14:textId="0897CBDD" w:rsidR="00615B41" w:rsidRDefault="00FB07EB" w:rsidP="00881557">
      <w:pPr>
        <w:spacing w:after="0" w:line="240" w:lineRule="auto"/>
        <w:rPr>
          <w:b/>
        </w:rPr>
      </w:pPr>
      <w:r w:rsidRPr="00E875D6">
        <w:rPr>
          <w:b/>
          <w:noProof/>
        </w:rPr>
        <w:drawing>
          <wp:anchor distT="0" distB="0" distL="114300" distR="114300" simplePos="0" relativeHeight="251659264" behindDoc="0" locked="0" layoutInCell="1" allowOverlap="1" wp14:anchorId="3ACB7206" wp14:editId="2BC841CC">
            <wp:simplePos x="0" y="0"/>
            <wp:positionH relativeFrom="page">
              <wp:align>left</wp:align>
            </wp:positionH>
            <wp:positionV relativeFrom="paragraph">
              <wp:posOffset>-914400</wp:posOffset>
            </wp:positionV>
            <wp:extent cx="7799070" cy="1114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WF Ltrhd logo + bar.jpg"/>
                    <pic:cNvPicPr/>
                  </pic:nvPicPr>
                  <pic:blipFill>
                    <a:blip r:embed="rId11">
                      <a:extLst>
                        <a:ext uri="{28A0092B-C50C-407E-A947-70E740481C1C}">
                          <a14:useLocalDpi xmlns:a14="http://schemas.microsoft.com/office/drawing/2010/main" val="0"/>
                        </a:ext>
                      </a:extLst>
                    </a:blip>
                    <a:stretch>
                      <a:fillRect/>
                    </a:stretch>
                  </pic:blipFill>
                  <pic:spPr>
                    <a:xfrm>
                      <a:off x="0" y="0"/>
                      <a:ext cx="7799070" cy="1114425"/>
                    </a:xfrm>
                    <a:prstGeom prst="rect">
                      <a:avLst/>
                    </a:prstGeom>
                  </pic:spPr>
                </pic:pic>
              </a:graphicData>
            </a:graphic>
            <wp14:sizeRelH relativeFrom="margin">
              <wp14:pctWidth>0</wp14:pctWidth>
            </wp14:sizeRelH>
            <wp14:sizeRelV relativeFrom="margin">
              <wp14:pctHeight>0</wp14:pctHeight>
            </wp14:sizeRelV>
          </wp:anchor>
        </w:drawing>
      </w:r>
    </w:p>
    <w:p w14:paraId="5AC7A467" w14:textId="0422B5E1" w:rsidR="00E6629C" w:rsidRPr="00E6629C" w:rsidRDefault="007C58BF" w:rsidP="00881557">
      <w:pPr>
        <w:spacing w:line="240" w:lineRule="auto"/>
        <w:jc w:val="center"/>
        <w:rPr>
          <w:b/>
          <w:sz w:val="32"/>
          <w:szCs w:val="32"/>
        </w:rPr>
      </w:pPr>
      <w:r w:rsidRPr="00E6629C">
        <w:rPr>
          <w:b/>
          <w:sz w:val="32"/>
          <w:szCs w:val="32"/>
        </w:rPr>
        <w:t xml:space="preserve">REQUEST FOR </w:t>
      </w:r>
      <w:r w:rsidR="00D80A0C">
        <w:rPr>
          <w:b/>
          <w:sz w:val="32"/>
          <w:szCs w:val="32"/>
        </w:rPr>
        <w:t>PROPOSALS</w:t>
      </w:r>
    </w:p>
    <w:p w14:paraId="5B2B5C0B" w14:textId="333FF181" w:rsidR="007C58BF" w:rsidRPr="00E6629C" w:rsidRDefault="00535055" w:rsidP="00881557">
      <w:pPr>
        <w:spacing w:after="0" w:line="240" w:lineRule="auto"/>
        <w:jc w:val="center"/>
        <w:rPr>
          <w:b/>
          <w:i/>
          <w:iCs/>
          <w:sz w:val="28"/>
          <w:szCs w:val="28"/>
        </w:rPr>
      </w:pPr>
      <w:r w:rsidRPr="00E6629C">
        <w:rPr>
          <w:b/>
          <w:i/>
          <w:iCs/>
          <w:sz w:val="28"/>
          <w:szCs w:val="28"/>
        </w:rPr>
        <w:t>NORTHEASTERN REGION</w:t>
      </w:r>
      <w:r w:rsidR="004C56BF" w:rsidRPr="00E6629C">
        <w:rPr>
          <w:b/>
          <w:i/>
          <w:iCs/>
          <w:sz w:val="28"/>
          <w:szCs w:val="28"/>
        </w:rPr>
        <w:t xml:space="preserve"> FIELD LIAISONS</w:t>
      </w:r>
    </w:p>
    <w:p w14:paraId="2976E76B" w14:textId="317F14ED" w:rsidR="00851C0F" w:rsidRDefault="00851C0F" w:rsidP="00881557">
      <w:pPr>
        <w:spacing w:after="0" w:line="240" w:lineRule="auto"/>
        <w:jc w:val="center"/>
      </w:pPr>
    </w:p>
    <w:p w14:paraId="73528397" w14:textId="72531C21" w:rsidR="00E6629C" w:rsidRPr="00E6629C" w:rsidRDefault="00E6629C" w:rsidP="00881557">
      <w:pPr>
        <w:spacing w:after="0" w:line="240" w:lineRule="auto"/>
        <w:jc w:val="center"/>
        <w:rPr>
          <w:b/>
          <w:bCs/>
        </w:rPr>
      </w:pPr>
      <w:r w:rsidRPr="00E6629C">
        <w:rPr>
          <w:b/>
          <w:bCs/>
          <w:sz w:val="28"/>
          <w:szCs w:val="28"/>
        </w:rPr>
        <w:t xml:space="preserve">Proposal Deadline: </w:t>
      </w:r>
      <w:r w:rsidR="009654F2">
        <w:rPr>
          <w:b/>
          <w:bCs/>
          <w:color w:val="FF0000"/>
          <w:sz w:val="28"/>
          <w:szCs w:val="28"/>
        </w:rPr>
        <w:t>March</w:t>
      </w:r>
      <w:r w:rsidR="00887B17">
        <w:rPr>
          <w:b/>
          <w:bCs/>
          <w:color w:val="FF0000"/>
          <w:sz w:val="28"/>
          <w:szCs w:val="28"/>
        </w:rPr>
        <w:t xml:space="preserve"> </w:t>
      </w:r>
      <w:r w:rsidR="009654F2">
        <w:rPr>
          <w:b/>
          <w:bCs/>
          <w:color w:val="FF0000"/>
          <w:sz w:val="28"/>
          <w:szCs w:val="28"/>
        </w:rPr>
        <w:t>1</w:t>
      </w:r>
      <w:r w:rsidRPr="00E6629C">
        <w:rPr>
          <w:b/>
          <w:bCs/>
          <w:color w:val="FF0000"/>
          <w:sz w:val="28"/>
          <w:szCs w:val="28"/>
        </w:rPr>
        <w:t>, 2023</w:t>
      </w:r>
    </w:p>
    <w:p w14:paraId="41FC4FA3" w14:textId="77777777" w:rsidR="00B162AD" w:rsidRPr="00C0687D" w:rsidRDefault="00B162AD" w:rsidP="00881557">
      <w:pPr>
        <w:spacing w:after="0" w:line="240" w:lineRule="auto"/>
        <w:rPr>
          <w:color w:val="000000"/>
          <w:sz w:val="16"/>
          <w:szCs w:val="16"/>
        </w:rPr>
      </w:pPr>
    </w:p>
    <w:p w14:paraId="62623738" w14:textId="5A021931" w:rsidR="00313AC2" w:rsidRPr="00FE313E" w:rsidRDefault="008A53A5" w:rsidP="00881557">
      <w:pPr>
        <w:spacing w:after="0" w:line="240" w:lineRule="auto"/>
        <w:rPr>
          <w:rFonts w:eastAsia="Times New Roman"/>
          <w:b/>
          <w:bCs/>
          <w:color w:val="000000"/>
          <w:u w:val="single"/>
        </w:rPr>
      </w:pPr>
      <w:r w:rsidRPr="00FE313E">
        <w:rPr>
          <w:rFonts w:eastAsia="Times New Roman"/>
          <w:b/>
          <w:bCs/>
          <w:color w:val="000000"/>
          <w:u w:val="single"/>
        </w:rPr>
        <w:t>OVERVIEW</w:t>
      </w:r>
    </w:p>
    <w:p w14:paraId="14E2A525" w14:textId="41BB043F" w:rsidR="002A370F" w:rsidRDefault="00CB5AD1" w:rsidP="00881557">
      <w:pPr>
        <w:spacing w:after="0" w:line="240" w:lineRule="auto"/>
        <w:rPr>
          <w:rFonts w:cs="Times New Roman TUR"/>
        </w:rPr>
      </w:pPr>
      <w:r w:rsidRPr="002A370F">
        <w:t xml:space="preserve">The National Fish and Wildlife Foundation (NFWF) </w:t>
      </w:r>
      <w:r w:rsidR="00BA6705" w:rsidRPr="002A370F">
        <w:t xml:space="preserve">seeks </w:t>
      </w:r>
      <w:r w:rsidR="00FF19FD">
        <w:t xml:space="preserve">several </w:t>
      </w:r>
      <w:r w:rsidR="00BA6705" w:rsidRPr="002A370F">
        <w:t xml:space="preserve">qualified </w:t>
      </w:r>
      <w:r w:rsidR="00E6629C">
        <w:t>C</w:t>
      </w:r>
      <w:r w:rsidR="00BA0B55" w:rsidRPr="002A370F">
        <w:t>ontractor</w:t>
      </w:r>
      <w:r w:rsidR="00FB07EB" w:rsidRPr="002A370F">
        <w:t>s</w:t>
      </w:r>
      <w:r w:rsidR="00BA0B55" w:rsidRPr="002A370F">
        <w:t xml:space="preserve"> </w:t>
      </w:r>
      <w:r w:rsidR="00E6629C" w:rsidRPr="00E6629C">
        <w:t>to provide technical assistance as “field liaisons” to support applicants and grantees</w:t>
      </w:r>
      <w:r w:rsidR="00FB07EB" w:rsidRPr="002A370F">
        <w:t xml:space="preserve"> for the </w:t>
      </w:r>
      <w:r w:rsidR="00A347B0">
        <w:t>Chesapeake Bay Stewardship Fund</w:t>
      </w:r>
      <w:r w:rsidR="00FB07EB" w:rsidRPr="002A370F">
        <w:t xml:space="preserve"> and </w:t>
      </w:r>
      <w:r w:rsidR="00535055" w:rsidRPr="00535055">
        <w:t xml:space="preserve">Central Appalachia Habitat Stewardship Program </w:t>
      </w:r>
      <w:r w:rsidR="00FB07EB" w:rsidRPr="002A370F">
        <w:t xml:space="preserve">within </w:t>
      </w:r>
      <w:r w:rsidR="00535055">
        <w:t>NFWF’s Northeastern</w:t>
      </w:r>
      <w:r w:rsidR="00535055" w:rsidRPr="002A370F">
        <w:t xml:space="preserve"> </w:t>
      </w:r>
      <w:r w:rsidR="00FB07EB" w:rsidRPr="002A370F">
        <w:t>region.</w:t>
      </w:r>
      <w:r w:rsidR="002A370F" w:rsidRPr="002A370F">
        <w:rPr>
          <w:rFonts w:cs="Times New Roman TUR"/>
        </w:rPr>
        <w:t xml:space="preserve"> </w:t>
      </w:r>
      <w:r w:rsidR="00E6629C" w:rsidRPr="00E6629C">
        <w:rPr>
          <w:rFonts w:cs="Times New Roman TUR"/>
        </w:rPr>
        <w:t xml:space="preserve">This support will help to advance the goals of the </w:t>
      </w:r>
      <w:r w:rsidR="00E6629C">
        <w:rPr>
          <w:rFonts w:cs="Times New Roman TUR"/>
        </w:rPr>
        <w:t>Chesapeake Bay Stewardship Fund and Central Appalachia Habitat Stewardship Program</w:t>
      </w:r>
      <w:r w:rsidR="00E6629C" w:rsidRPr="00E6629C">
        <w:rPr>
          <w:rFonts w:cs="Times New Roman TUR"/>
        </w:rPr>
        <w:t>, improve grantee and applicant experience, and increase the quality and scale of qualified proposals to the program.</w:t>
      </w:r>
      <w:r w:rsidR="00E6629C">
        <w:rPr>
          <w:rFonts w:cs="Times New Roman TUR"/>
        </w:rPr>
        <w:t xml:space="preserve"> </w:t>
      </w:r>
      <w:r w:rsidR="002A370F" w:rsidRPr="002A370F">
        <w:rPr>
          <w:rFonts w:cs="Times New Roman TUR"/>
        </w:rPr>
        <w:t>Th</w:t>
      </w:r>
      <w:r w:rsidR="00FE2CDC">
        <w:rPr>
          <w:rFonts w:cs="Times New Roman TUR"/>
        </w:rPr>
        <w:t xml:space="preserve">e contractor will provide support for </w:t>
      </w:r>
      <w:r w:rsidR="002A370F" w:rsidRPr="002A370F">
        <w:rPr>
          <w:rFonts w:cs="Times New Roman TUR"/>
        </w:rPr>
        <w:t xml:space="preserve">one-year (with the option to renew for up to </w:t>
      </w:r>
      <w:r w:rsidR="00535055">
        <w:rPr>
          <w:rFonts w:cs="Times New Roman TUR"/>
        </w:rPr>
        <w:t xml:space="preserve">one </w:t>
      </w:r>
      <w:r w:rsidR="002A370F" w:rsidRPr="002A370F">
        <w:rPr>
          <w:rFonts w:cs="Times New Roman TUR"/>
        </w:rPr>
        <w:t>additional year</w:t>
      </w:r>
      <w:r w:rsidR="008C6CD5" w:rsidRPr="002A370F">
        <w:rPr>
          <w:rFonts w:cs="Times New Roman TUR"/>
        </w:rPr>
        <w:t>)</w:t>
      </w:r>
      <w:r w:rsidR="00535055">
        <w:rPr>
          <w:rFonts w:cs="Times New Roman TUR"/>
        </w:rPr>
        <w:t xml:space="preserve"> and</w:t>
      </w:r>
      <w:r w:rsidR="008C6CD5" w:rsidRPr="002A370F">
        <w:rPr>
          <w:rFonts w:cs="Times New Roman TUR"/>
        </w:rPr>
        <w:t xml:space="preserve"> report</w:t>
      </w:r>
      <w:r w:rsidR="002A370F" w:rsidRPr="002A370F">
        <w:rPr>
          <w:rFonts w:cs="Times New Roman TUR"/>
        </w:rPr>
        <w:t xml:space="preserve"> to </w:t>
      </w:r>
      <w:r w:rsidR="004C0A57">
        <w:rPr>
          <w:rFonts w:cs="Times New Roman TUR"/>
        </w:rPr>
        <w:t>the</w:t>
      </w:r>
      <w:r w:rsidR="00535055" w:rsidRPr="00535055">
        <w:rPr>
          <w:rFonts w:cs="Times New Roman TUR"/>
        </w:rPr>
        <w:t xml:space="preserve"> Director of the Northeastern Regional Office, or to one of </w:t>
      </w:r>
      <w:r w:rsidR="004C0A57">
        <w:rPr>
          <w:rFonts w:cs="Times New Roman TUR"/>
        </w:rPr>
        <w:t>t</w:t>
      </w:r>
      <w:r w:rsidR="00535055" w:rsidRPr="00535055">
        <w:rPr>
          <w:rFonts w:cs="Times New Roman TUR"/>
        </w:rPr>
        <w:t>he</w:t>
      </w:r>
      <w:r w:rsidR="004C0A57">
        <w:rPr>
          <w:rFonts w:cs="Times New Roman TUR"/>
        </w:rPr>
        <w:t>i</w:t>
      </w:r>
      <w:r w:rsidR="00535055" w:rsidRPr="00535055">
        <w:rPr>
          <w:rFonts w:cs="Times New Roman TUR"/>
        </w:rPr>
        <w:t>r</w:t>
      </w:r>
      <w:r w:rsidR="004C0A57">
        <w:rPr>
          <w:rFonts w:cs="Times New Roman TUR"/>
        </w:rPr>
        <w:t xml:space="preserve"> </w:t>
      </w:r>
      <w:r w:rsidR="00EB7FC7">
        <w:rPr>
          <w:rFonts w:cs="Times New Roman TUR"/>
        </w:rPr>
        <w:t xml:space="preserve">direct </w:t>
      </w:r>
      <w:r w:rsidR="00535055" w:rsidRPr="00535055">
        <w:rPr>
          <w:rFonts w:cs="Times New Roman TUR"/>
        </w:rPr>
        <w:t>reports</w:t>
      </w:r>
      <w:r w:rsidR="002A370F" w:rsidRPr="002A370F">
        <w:rPr>
          <w:rFonts w:cs="Times New Roman TUR"/>
        </w:rPr>
        <w:t>.</w:t>
      </w:r>
      <w:r w:rsidR="002A370F">
        <w:rPr>
          <w:rFonts w:cs="Times New Roman TUR"/>
        </w:rPr>
        <w:t xml:space="preserve"> </w:t>
      </w:r>
    </w:p>
    <w:p w14:paraId="55E632D7" w14:textId="77777777" w:rsidR="002A370F" w:rsidRPr="00C0687D" w:rsidRDefault="002A370F" w:rsidP="00881557">
      <w:pPr>
        <w:spacing w:after="0" w:line="240" w:lineRule="auto"/>
        <w:rPr>
          <w:rFonts w:cs="Times New Roman TUR"/>
          <w:sz w:val="16"/>
          <w:szCs w:val="16"/>
        </w:rPr>
      </w:pPr>
    </w:p>
    <w:p w14:paraId="22CEAFF1" w14:textId="4A6500D7" w:rsidR="00EA3BBC" w:rsidRPr="00FE313E" w:rsidRDefault="00566950" w:rsidP="00881557">
      <w:pPr>
        <w:spacing w:after="0" w:line="240" w:lineRule="auto"/>
        <w:rPr>
          <w:rFonts w:eastAsia="Times New Roman" w:cs="Calibri"/>
          <w:caps/>
          <w:color w:val="000000"/>
          <w:u w:val="single"/>
        </w:rPr>
      </w:pPr>
      <w:r w:rsidRPr="00FE313E">
        <w:rPr>
          <w:rFonts w:eastAsia="Times New Roman" w:cs="Calibri"/>
          <w:b/>
          <w:bCs/>
          <w:caps/>
          <w:color w:val="000000"/>
          <w:u w:val="single"/>
        </w:rPr>
        <w:t>BACKGROUND</w:t>
      </w:r>
    </w:p>
    <w:p w14:paraId="2A0B2F03" w14:textId="57D37037" w:rsidR="009D30F8" w:rsidRDefault="00A347B0" w:rsidP="00881557">
      <w:pPr>
        <w:spacing w:after="0" w:line="240" w:lineRule="auto"/>
        <w:rPr>
          <w:rFonts w:cs="Times New Roman TUR"/>
          <w:color w:val="000000" w:themeColor="text1"/>
        </w:rPr>
      </w:pPr>
      <w:r w:rsidRPr="00FB07EB">
        <w:rPr>
          <w:rFonts w:cs="Times New Roman TUR"/>
          <w:color w:val="000000" w:themeColor="text1"/>
        </w:rPr>
        <w:t xml:space="preserve">NFWF manages </w:t>
      </w:r>
      <w:r>
        <w:rPr>
          <w:rFonts w:cs="Times New Roman TUR"/>
          <w:color w:val="000000" w:themeColor="text1"/>
        </w:rPr>
        <w:t>a variety</w:t>
      </w:r>
      <w:r w:rsidRPr="00FB07EB">
        <w:rPr>
          <w:rFonts w:cs="Times New Roman TUR"/>
          <w:color w:val="000000" w:themeColor="text1"/>
        </w:rPr>
        <w:t xml:space="preserve"> </w:t>
      </w:r>
      <w:r w:rsidR="006F6E62">
        <w:rPr>
          <w:rFonts w:cs="Times New Roman TUR"/>
          <w:color w:val="000000" w:themeColor="text1"/>
        </w:rPr>
        <w:t xml:space="preserve">of </w:t>
      </w:r>
      <w:r w:rsidRPr="00FB07EB">
        <w:rPr>
          <w:rFonts w:cs="Times New Roman TUR"/>
          <w:color w:val="000000" w:themeColor="text1"/>
        </w:rPr>
        <w:t xml:space="preserve">grant programs </w:t>
      </w:r>
      <w:r>
        <w:rPr>
          <w:rFonts w:cs="Times New Roman TUR"/>
          <w:color w:val="000000" w:themeColor="text1"/>
        </w:rPr>
        <w:t xml:space="preserve">throughout the </w:t>
      </w:r>
      <w:r w:rsidR="0092491A">
        <w:rPr>
          <w:rFonts w:cs="Times New Roman TUR"/>
          <w:color w:val="000000" w:themeColor="text1"/>
        </w:rPr>
        <w:t>M</w:t>
      </w:r>
      <w:r>
        <w:rPr>
          <w:rFonts w:cs="Times New Roman TUR"/>
          <w:color w:val="000000" w:themeColor="text1"/>
        </w:rPr>
        <w:t xml:space="preserve">id-Atlantic and </w:t>
      </w:r>
      <w:r w:rsidR="00535055">
        <w:rPr>
          <w:rFonts w:cs="Times New Roman TUR"/>
          <w:color w:val="000000" w:themeColor="text1"/>
        </w:rPr>
        <w:t>northeastern United States</w:t>
      </w:r>
      <w:r w:rsidR="00D86409">
        <w:rPr>
          <w:rFonts w:cs="Times New Roman TUR"/>
          <w:color w:val="000000" w:themeColor="text1"/>
        </w:rPr>
        <w:t xml:space="preserve"> including the </w:t>
      </w:r>
      <w:r w:rsidR="00D86409" w:rsidRPr="00D86409">
        <w:rPr>
          <w:rFonts w:cs="Times New Roman TUR"/>
          <w:color w:val="000000" w:themeColor="text1"/>
        </w:rPr>
        <w:t>Central Appalachia Habitat Stewardship Program</w:t>
      </w:r>
      <w:r w:rsidR="00D86409">
        <w:rPr>
          <w:rFonts w:cs="Times New Roman TUR"/>
          <w:color w:val="000000" w:themeColor="text1"/>
        </w:rPr>
        <w:t xml:space="preserve"> and </w:t>
      </w:r>
      <w:r w:rsidR="009D30F8">
        <w:rPr>
          <w:rFonts w:cs="Times New Roman TUR"/>
          <w:color w:val="000000" w:themeColor="text1"/>
        </w:rPr>
        <w:t xml:space="preserve">several programs under the </w:t>
      </w:r>
      <w:r w:rsidR="00D86409">
        <w:rPr>
          <w:rFonts w:cs="Times New Roman TUR"/>
          <w:color w:val="000000" w:themeColor="text1"/>
        </w:rPr>
        <w:t>Chesapeake Bay Stewardship Fund</w:t>
      </w:r>
      <w:r w:rsidRPr="00FB07EB">
        <w:rPr>
          <w:rFonts w:cs="Times New Roman TUR"/>
          <w:color w:val="000000" w:themeColor="text1"/>
        </w:rPr>
        <w:t xml:space="preserve">. </w:t>
      </w:r>
    </w:p>
    <w:p w14:paraId="7F7D81F6" w14:textId="77CE73E0" w:rsidR="009D30F8" w:rsidRPr="009D30F8" w:rsidRDefault="00D71F40" w:rsidP="00881557">
      <w:pPr>
        <w:pStyle w:val="ListParagraph"/>
        <w:numPr>
          <w:ilvl w:val="0"/>
          <w:numId w:val="6"/>
        </w:numPr>
        <w:spacing w:line="240" w:lineRule="auto"/>
        <w:rPr>
          <w:rFonts w:cs="Times New Roman TUR"/>
          <w:color w:val="000000" w:themeColor="text1"/>
        </w:rPr>
      </w:pPr>
      <w:r w:rsidRPr="009D30F8">
        <w:rPr>
          <w:rFonts w:cs="Times New Roman TUR"/>
          <w:color w:val="000000" w:themeColor="text1"/>
        </w:rPr>
        <w:t>T</w:t>
      </w:r>
      <w:r>
        <w:t xml:space="preserve">he Central Appalachia Habitat Stewardship Program </w:t>
      </w:r>
      <w:r w:rsidR="00C0687D">
        <w:t xml:space="preserve">(Central Appalachia) </w:t>
      </w:r>
      <w:r w:rsidR="006C29F3">
        <w:t xml:space="preserve">awards </w:t>
      </w:r>
      <w:r w:rsidR="006C29F3" w:rsidRPr="006C29F3">
        <w:t>grants to restore and sustain healthy forests, rivers and streams that provide habitat for diverse native bird and aquatic species populations</w:t>
      </w:r>
      <w:r w:rsidR="00C0687D">
        <w:t xml:space="preserve"> </w:t>
      </w:r>
      <w:r>
        <w:t xml:space="preserve">in the Central Appalachian-Allegheny Plateau landscape, including the Appalachian regions of New York, Pennsylvania, Ohio, Maryland, </w:t>
      </w:r>
      <w:r w:rsidR="006F6E62">
        <w:t>West Virginia,</w:t>
      </w:r>
      <w:r>
        <w:t xml:space="preserve"> and Virginia. Funding priorities for this program include </w:t>
      </w:r>
      <w:r w:rsidR="00E63B97">
        <w:t>restoration and management of forest block</w:t>
      </w:r>
      <w:r w:rsidR="00665ED0">
        <w:t>s</w:t>
      </w:r>
      <w:r w:rsidR="00E63B97">
        <w:t xml:space="preserve"> in focal geographies, forest and grassland management for wildlife, carb</w:t>
      </w:r>
      <w:r w:rsidR="00C0687D">
        <w:t>o</w:t>
      </w:r>
      <w:r w:rsidR="00E63B97">
        <w:t>n and water,</w:t>
      </w:r>
      <w:r>
        <w:t xml:space="preserve"> </w:t>
      </w:r>
      <w:r w:rsidR="00E63B97">
        <w:t xml:space="preserve">restoration of aquatic </w:t>
      </w:r>
      <w:r w:rsidR="00C0687D">
        <w:t>ecosystems and</w:t>
      </w:r>
      <w:r>
        <w:t xml:space="preserve"> </w:t>
      </w:r>
      <w:r w:rsidR="00E63B97">
        <w:t>community impact and engagement</w:t>
      </w:r>
      <w:r>
        <w:t xml:space="preserve"> in support of the goals and outcomes outline</w:t>
      </w:r>
      <w:r w:rsidR="006F6E62">
        <w:t>d</w:t>
      </w:r>
      <w:r>
        <w:t xml:space="preserve"> in</w:t>
      </w:r>
      <w:r w:rsidR="00BD6CA9">
        <w:t xml:space="preserve"> NFWF’s</w:t>
      </w:r>
      <w:r>
        <w:t xml:space="preserve"> </w:t>
      </w:r>
      <w:hyperlink r:id="rId12" w:history="1">
        <w:r w:rsidRPr="00D71F40">
          <w:rPr>
            <w:rStyle w:val="Hyperlink"/>
          </w:rPr>
          <w:t>Central Appalachia Business Plan</w:t>
        </w:r>
      </w:hyperlink>
      <w:r w:rsidR="00BD6CA9">
        <w:t>.</w:t>
      </w:r>
    </w:p>
    <w:p w14:paraId="17056B65" w14:textId="7C96F4EB" w:rsidR="002035D3" w:rsidRPr="002035D3" w:rsidRDefault="00A347B0" w:rsidP="00881557">
      <w:pPr>
        <w:pStyle w:val="ListParagraph"/>
        <w:numPr>
          <w:ilvl w:val="0"/>
          <w:numId w:val="6"/>
        </w:numPr>
        <w:spacing w:line="240" w:lineRule="auto"/>
        <w:rPr>
          <w:rFonts w:cs="Times New Roman TUR"/>
          <w:color w:val="000000" w:themeColor="text1"/>
        </w:rPr>
      </w:pPr>
      <w:r w:rsidRPr="009D30F8">
        <w:rPr>
          <w:rFonts w:cs="Times New Roman TUR"/>
          <w:color w:val="000000" w:themeColor="text1"/>
        </w:rPr>
        <w:t>Annual p</w:t>
      </w:r>
      <w:r w:rsidRPr="009D30F8">
        <w:rPr>
          <w:rFonts w:cs="Times New Roman TUR"/>
        </w:rPr>
        <w:t xml:space="preserve">rograms under NFWF’s Chesapeake Bay Stewardship Fund (CBSF) include the </w:t>
      </w:r>
      <w:r w:rsidR="00804C65" w:rsidRPr="009D30F8">
        <w:rPr>
          <w:rFonts w:cs="Times New Roman TUR"/>
        </w:rPr>
        <w:t>Innovative Nutrient and Sediment Reduction</w:t>
      </w:r>
      <w:r w:rsidR="00804C65">
        <w:rPr>
          <w:rFonts w:cs="Times New Roman TUR"/>
        </w:rPr>
        <w:t xml:space="preserve"> Grants Program</w:t>
      </w:r>
      <w:r w:rsidR="00804C65" w:rsidRPr="009D30F8">
        <w:rPr>
          <w:rFonts w:cs="Times New Roman TUR"/>
        </w:rPr>
        <w:t>;</w:t>
      </w:r>
      <w:r w:rsidR="00804C65">
        <w:rPr>
          <w:rFonts w:cs="Times New Roman TUR"/>
        </w:rPr>
        <w:t xml:space="preserve"> the </w:t>
      </w:r>
      <w:r w:rsidRPr="009D30F8">
        <w:rPr>
          <w:rFonts w:cs="Times New Roman TUR"/>
        </w:rPr>
        <w:t>Small Watershed Grants Implementation</w:t>
      </w:r>
      <w:r w:rsidR="00804C65">
        <w:rPr>
          <w:rFonts w:cs="Times New Roman TUR"/>
        </w:rPr>
        <w:t xml:space="preserve"> and</w:t>
      </w:r>
      <w:r w:rsidRPr="009D30F8">
        <w:rPr>
          <w:rFonts w:cs="Times New Roman TUR"/>
        </w:rPr>
        <w:t xml:space="preserve"> Planning and Technical Assistance</w:t>
      </w:r>
      <w:r w:rsidR="00804C65">
        <w:rPr>
          <w:rFonts w:cs="Times New Roman TUR"/>
        </w:rPr>
        <w:t xml:space="preserve"> Programs</w:t>
      </w:r>
      <w:r w:rsidRPr="009D30F8">
        <w:rPr>
          <w:rFonts w:cs="Times New Roman TUR"/>
        </w:rPr>
        <w:t xml:space="preserve">; </w:t>
      </w:r>
      <w:r w:rsidR="00804C65">
        <w:rPr>
          <w:rFonts w:cs="Times New Roman TUR"/>
        </w:rPr>
        <w:t xml:space="preserve">the and two new Chesapeake Watershed Investments for Landscape Defense (WILD) Implementation and Planning and Technical Assistance Grant Programs; and the </w:t>
      </w:r>
      <w:r w:rsidR="009D30F8">
        <w:rPr>
          <w:rFonts w:cs="Times New Roman TUR"/>
        </w:rPr>
        <w:t>Pennsylvania Most Effective Basins</w:t>
      </w:r>
      <w:r w:rsidR="00804C65">
        <w:rPr>
          <w:rFonts w:cs="Times New Roman TUR"/>
        </w:rPr>
        <w:t xml:space="preserve"> Grants Program; as well as </w:t>
      </w:r>
      <w:r w:rsidRPr="009D30F8">
        <w:rPr>
          <w:rFonts w:cs="Times New Roman TUR"/>
        </w:rPr>
        <w:t>various off-cycle awards</w:t>
      </w:r>
      <w:r w:rsidR="00804C65">
        <w:rPr>
          <w:rFonts w:cs="Times New Roman TUR"/>
        </w:rPr>
        <w:t xml:space="preserve"> and program support contracts related to networking and information sharing, environmental compliance, and tracking and reporting on-the-ground outcomes of CBSF grant projects</w:t>
      </w:r>
      <w:r w:rsidRPr="009D30F8">
        <w:rPr>
          <w:rFonts w:cs="Times New Roman TUR"/>
        </w:rPr>
        <w:t xml:space="preserve">. </w:t>
      </w:r>
      <w:r w:rsidR="00D93507" w:rsidRPr="009D30F8">
        <w:rPr>
          <w:rFonts w:cs="Times New Roman TUR"/>
        </w:rPr>
        <w:t xml:space="preserve">Collectively, these programs </w:t>
      </w:r>
      <w:r w:rsidR="00BD6CA9" w:rsidRPr="009D30F8">
        <w:rPr>
          <w:rFonts w:cs="Times New Roman TUR"/>
        </w:rPr>
        <w:t xml:space="preserve">are dedicated to protecting and restoring the bay by helping local communities clean up and restore their polluted rivers and streams and aim to achieve the goals and outcomes outlined in NFWF’s </w:t>
      </w:r>
      <w:hyperlink r:id="rId13" w:history="1">
        <w:r w:rsidR="00D93507" w:rsidRPr="009D30F8">
          <w:rPr>
            <w:rStyle w:val="Hyperlink"/>
            <w:rFonts w:cs="Times New Roman TUR"/>
          </w:rPr>
          <w:t>Chesapeake Bay Business Plan</w:t>
        </w:r>
      </w:hyperlink>
      <w:r w:rsidR="00D93507" w:rsidRPr="009D30F8">
        <w:rPr>
          <w:rFonts w:cs="Times New Roman TUR"/>
        </w:rPr>
        <w:t xml:space="preserve">. </w:t>
      </w:r>
      <w:r w:rsidRPr="009D30F8">
        <w:rPr>
          <w:rFonts w:cs="Times New Roman TUR"/>
          <w:color w:val="000000" w:themeColor="text1"/>
        </w:rPr>
        <w:t xml:space="preserve">Over time, the funding levels, projects, scope, reach and audience of these programs have grown significantly. The need for effective field support has grown as well, </w:t>
      </w:r>
      <w:r w:rsidRPr="009D30F8">
        <w:rPr>
          <w:rFonts w:cs="Times New Roman TUR"/>
        </w:rPr>
        <w:t xml:space="preserve">to assist potential grantees in developing proposals that are aligned with NFWF’s priorities, to troubleshoot grant implementation, and to help form networks among grantees to facilitate shared learning. </w:t>
      </w:r>
      <w:r w:rsidR="0040492F" w:rsidRPr="009D30F8">
        <w:rPr>
          <w:rFonts w:cs="Times New Roman TUR"/>
        </w:rPr>
        <w:t xml:space="preserve">NFWF awards between </w:t>
      </w:r>
      <w:r w:rsidR="008F266B">
        <w:rPr>
          <w:rFonts w:cs="Times New Roman TUR"/>
        </w:rPr>
        <w:t>100</w:t>
      </w:r>
      <w:r w:rsidR="009D30F8" w:rsidRPr="009D30F8">
        <w:rPr>
          <w:rFonts w:cs="Times New Roman TUR"/>
        </w:rPr>
        <w:t xml:space="preserve"> </w:t>
      </w:r>
      <w:r w:rsidR="0040492F" w:rsidRPr="009D30F8">
        <w:rPr>
          <w:rFonts w:cs="Times New Roman TUR"/>
        </w:rPr>
        <w:t xml:space="preserve">and </w:t>
      </w:r>
      <w:r w:rsidR="008F266B">
        <w:rPr>
          <w:rFonts w:cs="Times New Roman TUR"/>
        </w:rPr>
        <w:t>130</w:t>
      </w:r>
      <w:r w:rsidR="009D30F8" w:rsidRPr="009D30F8">
        <w:rPr>
          <w:rFonts w:cs="Times New Roman TUR"/>
        </w:rPr>
        <w:t xml:space="preserve"> </w:t>
      </w:r>
      <w:r w:rsidR="0040492F" w:rsidRPr="009D30F8">
        <w:rPr>
          <w:rFonts w:cs="Times New Roman TUR"/>
        </w:rPr>
        <w:t xml:space="preserve">individual grants through its annual Chesapeake Bay Stewardship Fund grants programs and maintains more than </w:t>
      </w:r>
      <w:r w:rsidR="008F266B">
        <w:rPr>
          <w:rFonts w:cs="Times New Roman TUR"/>
        </w:rPr>
        <w:t>300</w:t>
      </w:r>
      <w:r w:rsidR="009D30F8" w:rsidRPr="009D30F8">
        <w:rPr>
          <w:rFonts w:cs="Times New Roman TUR"/>
        </w:rPr>
        <w:t xml:space="preserve"> </w:t>
      </w:r>
      <w:r w:rsidR="0040492F" w:rsidRPr="009D30F8">
        <w:rPr>
          <w:rFonts w:cs="Times New Roman TUR"/>
        </w:rPr>
        <w:t xml:space="preserve">active grants at any one time. </w:t>
      </w:r>
    </w:p>
    <w:p w14:paraId="4CA4082F" w14:textId="5194D25D" w:rsidR="00BC5392" w:rsidRPr="00C0687D" w:rsidRDefault="0040492F" w:rsidP="00881557">
      <w:pPr>
        <w:pStyle w:val="ListParagraph"/>
        <w:numPr>
          <w:ilvl w:val="0"/>
          <w:numId w:val="6"/>
        </w:numPr>
        <w:spacing w:after="0" w:line="240" w:lineRule="auto"/>
        <w:rPr>
          <w:rFonts w:cs="Times New Roman TUR"/>
          <w:color w:val="000000" w:themeColor="text1"/>
        </w:rPr>
      </w:pPr>
      <w:r w:rsidRPr="009D30F8">
        <w:rPr>
          <w:rFonts w:cs="Times New Roman TUR"/>
        </w:rPr>
        <w:lastRenderedPageBreak/>
        <w:t xml:space="preserve">NFWF anticipates the selected contractors will share field support activities and </w:t>
      </w:r>
      <w:r w:rsidR="00535055" w:rsidRPr="009D30F8">
        <w:rPr>
          <w:rFonts w:cs="Times New Roman TUR"/>
        </w:rPr>
        <w:t xml:space="preserve">coordinate with NFWF </w:t>
      </w:r>
      <w:r w:rsidRPr="009D30F8">
        <w:rPr>
          <w:rFonts w:cs="Times New Roman TUR"/>
        </w:rPr>
        <w:t xml:space="preserve">professional staff to ensure completed coverage of NFWF’s </w:t>
      </w:r>
      <w:r w:rsidR="004B40D7" w:rsidRPr="009D30F8">
        <w:rPr>
          <w:rFonts w:cs="Times New Roman TUR"/>
        </w:rPr>
        <w:t xml:space="preserve">Central Appalachia and </w:t>
      </w:r>
      <w:r w:rsidRPr="009D30F8">
        <w:rPr>
          <w:rFonts w:cs="Times New Roman TUR"/>
        </w:rPr>
        <w:t>Chesapeake Bay grants portfolio</w:t>
      </w:r>
      <w:r w:rsidR="004B40D7" w:rsidRPr="009D30F8">
        <w:rPr>
          <w:rFonts w:cs="Times New Roman TUR"/>
        </w:rPr>
        <w:t>s</w:t>
      </w:r>
      <w:r w:rsidRPr="009D30F8">
        <w:rPr>
          <w:rFonts w:cs="Times New Roman TUR"/>
        </w:rPr>
        <w:t>.</w:t>
      </w:r>
    </w:p>
    <w:p w14:paraId="5557265B" w14:textId="77777777" w:rsidR="00C0687D" w:rsidRPr="00C0687D" w:rsidRDefault="00C0687D" w:rsidP="00881557">
      <w:pPr>
        <w:spacing w:after="0" w:line="240" w:lineRule="auto"/>
        <w:rPr>
          <w:rFonts w:cs="Times New Roman TUR"/>
          <w:color w:val="000000" w:themeColor="text1"/>
          <w:sz w:val="16"/>
          <w:szCs w:val="16"/>
        </w:rPr>
      </w:pPr>
    </w:p>
    <w:p w14:paraId="25FD7BED" w14:textId="5CC705B8" w:rsidR="008F266B" w:rsidRPr="00FE313E" w:rsidRDefault="008F266B" w:rsidP="00881557">
      <w:pPr>
        <w:spacing w:after="0" w:line="240" w:lineRule="auto"/>
        <w:rPr>
          <w:rFonts w:cs="Times New Roman TUR"/>
          <w:b/>
          <w:bCs/>
          <w:color w:val="000000" w:themeColor="text1"/>
          <w:u w:val="single"/>
        </w:rPr>
      </w:pPr>
      <w:r w:rsidRPr="00FE313E">
        <w:rPr>
          <w:rFonts w:cs="Times New Roman TUR"/>
          <w:b/>
          <w:bCs/>
          <w:color w:val="000000" w:themeColor="text1"/>
          <w:u w:val="single"/>
        </w:rPr>
        <w:t>QUALIFICATIONS</w:t>
      </w:r>
    </w:p>
    <w:p w14:paraId="6562707F" w14:textId="1589647C" w:rsidR="008F266B" w:rsidRPr="008F266B" w:rsidRDefault="008F266B" w:rsidP="00881557">
      <w:pPr>
        <w:spacing w:after="0" w:line="240" w:lineRule="auto"/>
        <w:rPr>
          <w:rFonts w:cs="Times New Roman TUR"/>
          <w:color w:val="000000" w:themeColor="text1"/>
        </w:rPr>
      </w:pPr>
      <w:r w:rsidRPr="008F266B">
        <w:rPr>
          <w:rFonts w:cs="Times New Roman TUR"/>
          <w:color w:val="000000" w:themeColor="text1"/>
        </w:rPr>
        <w:t xml:space="preserve">To assist in the successful implementation of the </w:t>
      </w:r>
      <w:r w:rsidR="00804C65">
        <w:t xml:space="preserve">Central Appalachia Program </w:t>
      </w:r>
      <w:r>
        <w:rPr>
          <w:rFonts w:cs="Times New Roman TUR"/>
          <w:color w:val="000000" w:themeColor="text1"/>
        </w:rPr>
        <w:t xml:space="preserve">and </w:t>
      </w:r>
      <w:r w:rsidR="00804C65">
        <w:rPr>
          <w:rFonts w:cs="Times New Roman TUR"/>
          <w:color w:val="000000" w:themeColor="text1"/>
        </w:rPr>
        <w:t>CBSF</w:t>
      </w:r>
      <w:r>
        <w:rPr>
          <w:rFonts w:cs="Times New Roman TUR"/>
          <w:color w:val="000000" w:themeColor="text1"/>
        </w:rPr>
        <w:t xml:space="preserve"> Programs,</w:t>
      </w:r>
      <w:r w:rsidRPr="008F266B">
        <w:rPr>
          <w:rFonts w:cs="Times New Roman TUR"/>
          <w:color w:val="000000" w:themeColor="text1"/>
        </w:rPr>
        <w:t xml:space="preserve"> this RFQ is seeking </w:t>
      </w:r>
      <w:r>
        <w:rPr>
          <w:rFonts w:cs="Times New Roman TUR"/>
          <w:color w:val="000000" w:themeColor="text1"/>
        </w:rPr>
        <w:t>many</w:t>
      </w:r>
      <w:r w:rsidRPr="008F266B">
        <w:rPr>
          <w:rFonts w:cs="Times New Roman TUR"/>
          <w:color w:val="000000" w:themeColor="text1"/>
        </w:rPr>
        <w:t xml:space="preserve"> qualified organizations or entities to serve as independent contractor(s) to NFWF with the following qualifications:</w:t>
      </w:r>
    </w:p>
    <w:p w14:paraId="0C82AB28" w14:textId="3546F148" w:rsidR="008F266B" w:rsidRDefault="008F266B" w:rsidP="00881557">
      <w:pPr>
        <w:pStyle w:val="ListParagraph"/>
        <w:numPr>
          <w:ilvl w:val="0"/>
          <w:numId w:val="8"/>
        </w:numPr>
        <w:spacing w:line="240" w:lineRule="auto"/>
        <w:rPr>
          <w:rFonts w:cs="Times New Roman TUR"/>
          <w:color w:val="000000" w:themeColor="text1"/>
        </w:rPr>
      </w:pPr>
      <w:r w:rsidRPr="008F266B">
        <w:rPr>
          <w:rFonts w:cs="Times New Roman TUR"/>
          <w:color w:val="000000" w:themeColor="text1"/>
        </w:rPr>
        <w:t>Three to five years’ experience working directly to support conservation and restoration related programs or initiatives, and particular expertise in planning, designing, implementing, or evaluating</w:t>
      </w:r>
      <w:r>
        <w:rPr>
          <w:rFonts w:cs="Times New Roman TUR"/>
          <w:color w:val="000000" w:themeColor="text1"/>
        </w:rPr>
        <w:t xml:space="preserve"> projects</w:t>
      </w:r>
      <w:r w:rsidRPr="008F266B">
        <w:rPr>
          <w:rFonts w:cs="Times New Roman TUR"/>
          <w:color w:val="000000" w:themeColor="text1"/>
        </w:rPr>
        <w:t xml:space="preserve"> that improve</w:t>
      </w:r>
      <w:r>
        <w:rPr>
          <w:rFonts w:cs="Times New Roman TUR"/>
          <w:color w:val="000000" w:themeColor="text1"/>
        </w:rPr>
        <w:t xml:space="preserve"> water quality, and</w:t>
      </w:r>
      <w:r w:rsidRPr="008F266B">
        <w:rPr>
          <w:rFonts w:cs="Times New Roman TUR"/>
          <w:color w:val="000000" w:themeColor="text1"/>
        </w:rPr>
        <w:t xml:space="preserve"> habitat for fish and wildlife is preferred.</w:t>
      </w:r>
    </w:p>
    <w:p w14:paraId="7DA31964" w14:textId="4091EE9C" w:rsidR="00804C65" w:rsidRPr="008F266B" w:rsidRDefault="00804C65" w:rsidP="00881557">
      <w:pPr>
        <w:pStyle w:val="ListParagraph"/>
        <w:numPr>
          <w:ilvl w:val="0"/>
          <w:numId w:val="8"/>
        </w:numPr>
        <w:spacing w:line="240" w:lineRule="auto"/>
        <w:rPr>
          <w:rFonts w:cs="Times New Roman TUR"/>
          <w:color w:val="000000" w:themeColor="text1"/>
        </w:rPr>
      </w:pPr>
      <w:r>
        <w:rPr>
          <w:rFonts w:cs="Times New Roman TUR"/>
          <w:color w:val="000000" w:themeColor="text1"/>
        </w:rPr>
        <w:t xml:space="preserve">For CBSF programs, specific expertise and demonstrated experience in the development and implementation of successful conservation and restoration projects, programs, and partnerships in the areas of watershed restoration, species and habitat conservation, climate resilience, and engagement of historically underserved communities in </w:t>
      </w:r>
      <w:r w:rsidR="00C0687D">
        <w:rPr>
          <w:rFonts w:cs="Times New Roman TUR"/>
          <w:color w:val="000000" w:themeColor="text1"/>
        </w:rPr>
        <w:t>locally led</w:t>
      </w:r>
      <w:r>
        <w:rPr>
          <w:rFonts w:cs="Times New Roman TUR"/>
          <w:color w:val="000000" w:themeColor="text1"/>
        </w:rPr>
        <w:t xml:space="preserve"> environmental programming related to NFWF’s </w:t>
      </w:r>
      <w:r w:rsidR="00FC0587">
        <w:rPr>
          <w:rFonts w:cs="Times New Roman TUR"/>
          <w:color w:val="000000" w:themeColor="text1"/>
        </w:rPr>
        <w:t>Chesapeake Bay program goals</w:t>
      </w:r>
      <w:r>
        <w:rPr>
          <w:rFonts w:cs="Times New Roman TUR"/>
          <w:color w:val="000000" w:themeColor="text1"/>
        </w:rPr>
        <w:t xml:space="preserve">. </w:t>
      </w:r>
    </w:p>
    <w:p w14:paraId="0BECCA0B" w14:textId="74A85706" w:rsidR="008F266B" w:rsidRPr="008F266B" w:rsidRDefault="008F266B" w:rsidP="00881557">
      <w:pPr>
        <w:pStyle w:val="ListParagraph"/>
        <w:numPr>
          <w:ilvl w:val="0"/>
          <w:numId w:val="8"/>
        </w:numPr>
        <w:spacing w:line="240" w:lineRule="auto"/>
        <w:rPr>
          <w:rFonts w:cs="Times New Roman TUR"/>
          <w:color w:val="000000" w:themeColor="text1"/>
        </w:rPr>
      </w:pPr>
      <w:r w:rsidRPr="008F266B">
        <w:rPr>
          <w:rFonts w:cs="Times New Roman TUR"/>
          <w:color w:val="000000" w:themeColor="text1"/>
        </w:rPr>
        <w:t xml:space="preserve">Experience working in a variety of jurisdictions </w:t>
      </w:r>
      <w:r>
        <w:rPr>
          <w:rFonts w:cs="Times New Roman TUR"/>
          <w:color w:val="000000" w:themeColor="text1"/>
        </w:rPr>
        <w:t xml:space="preserve">in the Northeast United States </w:t>
      </w:r>
      <w:r w:rsidRPr="008F266B">
        <w:rPr>
          <w:rFonts w:cs="Times New Roman TUR"/>
          <w:color w:val="000000" w:themeColor="text1"/>
        </w:rPr>
        <w:t>and advising federal, state, local, territorial, or Tribal government agencies</w:t>
      </w:r>
      <w:r>
        <w:rPr>
          <w:rFonts w:cs="Times New Roman TUR"/>
          <w:color w:val="000000" w:themeColor="text1"/>
        </w:rPr>
        <w:t>.</w:t>
      </w:r>
    </w:p>
    <w:p w14:paraId="160FB76E" w14:textId="7D588436" w:rsidR="008F266B" w:rsidRPr="008F266B" w:rsidRDefault="008F266B" w:rsidP="00881557">
      <w:pPr>
        <w:pStyle w:val="ListParagraph"/>
        <w:numPr>
          <w:ilvl w:val="0"/>
          <w:numId w:val="8"/>
        </w:numPr>
        <w:spacing w:line="240" w:lineRule="auto"/>
        <w:rPr>
          <w:rFonts w:cs="Times New Roman TUR"/>
          <w:color w:val="000000" w:themeColor="text1"/>
        </w:rPr>
      </w:pPr>
      <w:r w:rsidRPr="008F266B">
        <w:rPr>
          <w:rFonts w:cs="Times New Roman TUR"/>
          <w:color w:val="000000" w:themeColor="text1"/>
        </w:rPr>
        <w:t>Specific experience working with or engaging diverse stakeholder groups, underserved communities, and/or Tribal communities especially as it pertains to capacity building.</w:t>
      </w:r>
    </w:p>
    <w:p w14:paraId="73FCA99C" w14:textId="48B91E17" w:rsidR="008F266B" w:rsidRPr="008F266B" w:rsidRDefault="008F266B" w:rsidP="00881557">
      <w:pPr>
        <w:pStyle w:val="ListParagraph"/>
        <w:numPr>
          <w:ilvl w:val="0"/>
          <w:numId w:val="8"/>
        </w:numPr>
        <w:spacing w:line="240" w:lineRule="auto"/>
        <w:rPr>
          <w:rFonts w:cs="Times New Roman TUR"/>
          <w:color w:val="000000" w:themeColor="text1"/>
        </w:rPr>
      </w:pPr>
      <w:r w:rsidRPr="008F266B">
        <w:rPr>
          <w:rFonts w:cs="Times New Roman TUR"/>
          <w:color w:val="000000" w:themeColor="text1"/>
        </w:rPr>
        <w:t>Specific experience providing technical support to organizations to develop project ideas and troubleshoot implementation barriers</w:t>
      </w:r>
      <w:r>
        <w:rPr>
          <w:rFonts w:cs="Times New Roman TUR"/>
          <w:color w:val="000000" w:themeColor="text1"/>
        </w:rPr>
        <w:t>.</w:t>
      </w:r>
    </w:p>
    <w:p w14:paraId="3F03BDC8" w14:textId="7CFA8219" w:rsidR="008F266B" w:rsidRPr="008F266B" w:rsidRDefault="008F266B" w:rsidP="00881557">
      <w:pPr>
        <w:pStyle w:val="ListParagraph"/>
        <w:numPr>
          <w:ilvl w:val="0"/>
          <w:numId w:val="8"/>
        </w:numPr>
        <w:spacing w:line="240" w:lineRule="auto"/>
        <w:rPr>
          <w:rFonts w:cs="Times New Roman TUR"/>
          <w:color w:val="000000" w:themeColor="text1"/>
        </w:rPr>
      </w:pPr>
      <w:r w:rsidRPr="008F266B">
        <w:rPr>
          <w:rFonts w:cs="Times New Roman TUR"/>
          <w:color w:val="000000" w:themeColor="text1"/>
        </w:rPr>
        <w:t>Strong public speaking and meeting facilitation experience, including specific experience designing and implementing effective engagement and outreach approaches, convening practitioners, and translating complex information for a variety of audiences with different skill and competency levels.</w:t>
      </w:r>
    </w:p>
    <w:p w14:paraId="0D948218" w14:textId="4FBE371E" w:rsidR="008F266B" w:rsidRPr="008F266B" w:rsidRDefault="008F266B" w:rsidP="00881557">
      <w:pPr>
        <w:pStyle w:val="ListParagraph"/>
        <w:numPr>
          <w:ilvl w:val="0"/>
          <w:numId w:val="8"/>
        </w:numPr>
        <w:spacing w:line="240" w:lineRule="auto"/>
        <w:rPr>
          <w:rFonts w:cs="Times New Roman TUR"/>
          <w:color w:val="000000" w:themeColor="text1"/>
        </w:rPr>
      </w:pPr>
      <w:r w:rsidRPr="008F266B">
        <w:rPr>
          <w:rFonts w:cs="Times New Roman TUR"/>
          <w:color w:val="000000" w:themeColor="text1"/>
        </w:rPr>
        <w:t>Understanding of federal grant requirements, including terms and conditions associated with federal funding sources.</w:t>
      </w:r>
    </w:p>
    <w:p w14:paraId="3CE6FAE1" w14:textId="3D3518AA" w:rsidR="00804C65" w:rsidRDefault="008F266B" w:rsidP="00881557">
      <w:pPr>
        <w:pStyle w:val="ListParagraph"/>
        <w:numPr>
          <w:ilvl w:val="0"/>
          <w:numId w:val="8"/>
        </w:numPr>
        <w:spacing w:after="0" w:line="240" w:lineRule="auto"/>
        <w:rPr>
          <w:rFonts w:cs="Times New Roman TUR"/>
          <w:color w:val="000000" w:themeColor="text1"/>
        </w:rPr>
      </w:pPr>
      <w:r w:rsidRPr="008F266B">
        <w:rPr>
          <w:rFonts w:cs="Times New Roman TUR"/>
          <w:color w:val="000000" w:themeColor="text1"/>
        </w:rPr>
        <w:t>Strong project management skills, including the ability to flexibly manage and adapt to changing project needs.</w:t>
      </w:r>
    </w:p>
    <w:p w14:paraId="39000082" w14:textId="77777777" w:rsidR="00C0687D" w:rsidRPr="00C0687D" w:rsidRDefault="00C0687D" w:rsidP="00881557">
      <w:pPr>
        <w:spacing w:after="0" w:line="240" w:lineRule="auto"/>
        <w:rPr>
          <w:rFonts w:cs="Times New Roman TUR"/>
          <w:color w:val="000000" w:themeColor="text1"/>
          <w:sz w:val="16"/>
          <w:szCs w:val="16"/>
        </w:rPr>
      </w:pPr>
    </w:p>
    <w:p w14:paraId="626406FC" w14:textId="3649F6A8" w:rsidR="005C0C45" w:rsidRPr="00FE313E" w:rsidRDefault="006A3FDA" w:rsidP="00881557">
      <w:pPr>
        <w:spacing w:after="0" w:line="240" w:lineRule="auto"/>
        <w:rPr>
          <w:rFonts w:eastAsia="Times New Roman" w:cs="Calibri"/>
          <w:caps/>
          <w:u w:val="single"/>
        </w:rPr>
      </w:pPr>
      <w:r w:rsidRPr="00FE313E">
        <w:rPr>
          <w:rFonts w:eastAsia="Times New Roman" w:cs="Calibri"/>
          <w:b/>
          <w:bCs/>
          <w:caps/>
          <w:u w:val="single"/>
        </w:rPr>
        <w:t>scope</w:t>
      </w:r>
      <w:r w:rsidR="00535055" w:rsidRPr="00FE313E">
        <w:rPr>
          <w:rFonts w:eastAsia="Times New Roman" w:cs="Calibri"/>
          <w:b/>
          <w:bCs/>
          <w:caps/>
          <w:u w:val="single"/>
        </w:rPr>
        <w:t xml:space="preserve"> of work</w:t>
      </w:r>
    </w:p>
    <w:p w14:paraId="597B7980" w14:textId="77777777" w:rsidR="004D431D" w:rsidRDefault="00DC7DE1" w:rsidP="00881557">
      <w:pPr>
        <w:spacing w:after="0" w:line="240" w:lineRule="auto"/>
      </w:pPr>
      <w:r w:rsidRPr="00DC27B3">
        <w:t xml:space="preserve">The </w:t>
      </w:r>
      <w:r w:rsidR="006B6DE7" w:rsidRPr="00DC27B3">
        <w:t xml:space="preserve">purpose of the </w:t>
      </w:r>
      <w:r w:rsidR="00A677B3" w:rsidRPr="00DC27B3">
        <w:t>contemplated contract</w:t>
      </w:r>
      <w:r w:rsidR="006B6DE7" w:rsidRPr="00DC27B3">
        <w:t xml:space="preserve"> is to</w:t>
      </w:r>
      <w:r w:rsidR="004D431D">
        <w:t>:</w:t>
      </w:r>
    </w:p>
    <w:p w14:paraId="34D511F5" w14:textId="2F9904E7" w:rsidR="00B51B7C" w:rsidRDefault="004D431D" w:rsidP="00881557">
      <w:pPr>
        <w:pStyle w:val="ListParagraph"/>
        <w:numPr>
          <w:ilvl w:val="0"/>
          <w:numId w:val="4"/>
        </w:numPr>
        <w:spacing w:after="0" w:line="240" w:lineRule="auto"/>
      </w:pPr>
      <w:r w:rsidRPr="00FE313E">
        <w:rPr>
          <w:b/>
          <w:bCs/>
        </w:rPr>
        <w:t>Assist prospective applicants and current NFWF grantees</w:t>
      </w:r>
      <w:r>
        <w:t xml:space="preserve"> in establishing, strengthening, and sustaining regional-scale partnerships and collaborative </w:t>
      </w:r>
      <w:r w:rsidR="00A966BE">
        <w:t xml:space="preserve">efforts </w:t>
      </w:r>
      <w:r>
        <w:t xml:space="preserve">to advance </w:t>
      </w:r>
      <w:r w:rsidR="00D93507">
        <w:t>NFWF’s Chesapeake Bay Business Plan;</w:t>
      </w:r>
    </w:p>
    <w:p w14:paraId="789D5090" w14:textId="62263D7B" w:rsidR="004D431D" w:rsidRDefault="00DC27B3" w:rsidP="00881557">
      <w:pPr>
        <w:pStyle w:val="ListParagraph"/>
        <w:numPr>
          <w:ilvl w:val="0"/>
          <w:numId w:val="4"/>
        </w:numPr>
        <w:spacing w:after="0" w:line="240" w:lineRule="auto"/>
      </w:pPr>
      <w:r w:rsidRPr="00FE313E">
        <w:rPr>
          <w:b/>
          <w:bCs/>
        </w:rPr>
        <w:t>Conduct outreach and offer assistance to potential grantees</w:t>
      </w:r>
      <w:r w:rsidRPr="00DC27B3">
        <w:t xml:space="preserve"> in targeted </w:t>
      </w:r>
      <w:r w:rsidR="008E2A79">
        <w:t>geographies</w:t>
      </w:r>
      <w:r w:rsidR="008E2A79" w:rsidRPr="00DC27B3">
        <w:t xml:space="preserve"> </w:t>
      </w:r>
      <w:r w:rsidRPr="00DC27B3">
        <w:t>to understand NFWF funding priorities, develop restoration project concepts, identify potential partnerships, and identify funding opportunities</w:t>
      </w:r>
      <w:r w:rsidR="004D431D">
        <w:t>;</w:t>
      </w:r>
    </w:p>
    <w:p w14:paraId="6AA1B2D1" w14:textId="6152FCD4" w:rsidR="004D431D" w:rsidRDefault="00804C65" w:rsidP="00881557">
      <w:pPr>
        <w:pStyle w:val="ListParagraph"/>
        <w:numPr>
          <w:ilvl w:val="0"/>
          <w:numId w:val="4"/>
        </w:numPr>
        <w:spacing w:after="0" w:line="240" w:lineRule="auto"/>
      </w:pPr>
      <w:r>
        <w:rPr>
          <w:b/>
          <w:bCs/>
        </w:rPr>
        <w:t>Support successful project implementation through regular coordination and field-based site visits</w:t>
      </w:r>
      <w:r w:rsidR="00DC27B3" w:rsidRPr="00DC27B3">
        <w:t xml:space="preserve"> to troubleshoot potential challenges with project implementation; conduct pre-project monitoring assessments; </w:t>
      </w:r>
      <w:r w:rsidR="00FE313E">
        <w:t xml:space="preserve">obtain lessons learned or NFWF program feedback; </w:t>
      </w:r>
      <w:r w:rsidR="00FE313E" w:rsidRPr="00DC27B3">
        <w:t>collect photo documentation; provide guidance regarding projects’ long-term maintenance</w:t>
      </w:r>
      <w:r w:rsidR="00FE313E">
        <w:t xml:space="preserve"> and stewardship</w:t>
      </w:r>
      <w:r w:rsidR="00FE313E" w:rsidRPr="00DC27B3">
        <w:t xml:space="preserve"> plans; and to scope potential next phases of projects with grantees</w:t>
      </w:r>
      <w:r w:rsidR="00FE313E">
        <w:t>;</w:t>
      </w:r>
    </w:p>
    <w:p w14:paraId="6AFFD7F8" w14:textId="591DA515" w:rsidR="004D431D" w:rsidRDefault="004D431D" w:rsidP="00881557">
      <w:pPr>
        <w:pStyle w:val="ListParagraph"/>
        <w:numPr>
          <w:ilvl w:val="0"/>
          <w:numId w:val="4"/>
        </w:numPr>
        <w:spacing w:after="0" w:line="240" w:lineRule="auto"/>
      </w:pPr>
      <w:r w:rsidRPr="00FE313E">
        <w:rPr>
          <w:b/>
          <w:bCs/>
        </w:rPr>
        <w:t>Support NFWF staff</w:t>
      </w:r>
      <w:r>
        <w:t xml:space="preserve"> in</w:t>
      </w:r>
      <w:r w:rsidR="00A347B0">
        <w:t xml:space="preserve"> </w:t>
      </w:r>
      <w:r>
        <w:t xml:space="preserve">implementing grantee </w:t>
      </w:r>
      <w:r w:rsidR="00A347B0">
        <w:t>oversight</w:t>
      </w:r>
      <w:r>
        <w:t xml:space="preserve"> activities</w:t>
      </w:r>
      <w:r w:rsidR="00FE313E">
        <w:t xml:space="preserve"> </w:t>
      </w:r>
      <w:r w:rsidR="00A347B0">
        <w:t>to assist grantees who need additional guidance with report</w:t>
      </w:r>
      <w:r w:rsidR="0092491A">
        <w:t>ing</w:t>
      </w:r>
      <w:r w:rsidR="00A347B0">
        <w:t xml:space="preserve"> requirements or </w:t>
      </w:r>
      <w:r>
        <w:t xml:space="preserve">potential </w:t>
      </w:r>
      <w:r w:rsidR="00A347B0">
        <w:t>compliance issues</w:t>
      </w:r>
      <w:r w:rsidR="00FE313E">
        <w:t xml:space="preserve"> and </w:t>
      </w:r>
      <w:r>
        <w:t xml:space="preserve">developing </w:t>
      </w:r>
      <w:r>
        <w:lastRenderedPageBreak/>
        <w:t xml:space="preserve">proposals to public and private funding partners for new projects and initiatives, consistent with NFWF’s Chesapeake Bay </w:t>
      </w:r>
      <w:r w:rsidR="00D86409" w:rsidRPr="00D86409">
        <w:t xml:space="preserve">and Central Appalachia </w:t>
      </w:r>
      <w:r>
        <w:t>program goals;</w:t>
      </w:r>
    </w:p>
    <w:p w14:paraId="71BD58F5" w14:textId="3544F361" w:rsidR="00FC0587" w:rsidRPr="00FC0587" w:rsidRDefault="00FC0587" w:rsidP="00881557">
      <w:pPr>
        <w:pStyle w:val="ListParagraph"/>
        <w:numPr>
          <w:ilvl w:val="0"/>
          <w:numId w:val="4"/>
        </w:numPr>
        <w:spacing w:after="0" w:line="240" w:lineRule="auto"/>
      </w:pPr>
      <w:r>
        <w:rPr>
          <w:b/>
          <w:bCs/>
        </w:rPr>
        <w:t>Ongoing engageme</w:t>
      </w:r>
      <w:r w:rsidRPr="00FC0587">
        <w:rPr>
          <w:b/>
          <w:bCs/>
        </w:rPr>
        <w:t>nt and participation</w:t>
      </w:r>
      <w:r>
        <w:t xml:space="preserve"> in meetings and dialogues with EPA, U.S. Fish and Wildlife Service, the federal-state Chesapeake Bay Program partnership, the Chesapeake Conservation Partnership, and other coordinating bodies advancing Bay restoration and conservation; </w:t>
      </w:r>
    </w:p>
    <w:p w14:paraId="17ECDEF3" w14:textId="4223C806" w:rsidR="004D431D" w:rsidRDefault="00FF2D5A" w:rsidP="00881557">
      <w:pPr>
        <w:pStyle w:val="ListParagraph"/>
        <w:numPr>
          <w:ilvl w:val="0"/>
          <w:numId w:val="4"/>
        </w:numPr>
        <w:spacing w:after="0" w:line="240" w:lineRule="auto"/>
      </w:pPr>
      <w:r w:rsidRPr="00FE313E">
        <w:rPr>
          <w:b/>
          <w:bCs/>
        </w:rPr>
        <w:t>Participate in team meetings</w:t>
      </w:r>
      <w:r>
        <w:t xml:space="preserve"> with NFWF team and other field liaisons, generally on a bi-weekly schedule</w:t>
      </w:r>
      <w:r w:rsidR="004D431D">
        <w:t>;</w:t>
      </w:r>
    </w:p>
    <w:p w14:paraId="66098F1C" w14:textId="4B876DD7" w:rsidR="004D431D" w:rsidRPr="00DC27B3" w:rsidRDefault="00FE313E" w:rsidP="00881557">
      <w:pPr>
        <w:pStyle w:val="ListParagraph"/>
        <w:numPr>
          <w:ilvl w:val="0"/>
          <w:numId w:val="4"/>
        </w:numPr>
        <w:spacing w:after="0" w:line="240" w:lineRule="auto"/>
      </w:pPr>
      <w:r w:rsidRPr="00FE313E">
        <w:rPr>
          <w:b/>
          <w:bCs/>
        </w:rPr>
        <w:t>Provide</w:t>
      </w:r>
      <w:r w:rsidR="00FF2D5A" w:rsidRPr="00FE313E">
        <w:rPr>
          <w:b/>
          <w:bCs/>
        </w:rPr>
        <w:t xml:space="preserve"> accurate and detailed information </w:t>
      </w:r>
      <w:r w:rsidR="00FF2D5A">
        <w:t>about site visits, grantee contacts, outreach, etc. for NFWF funder reports</w:t>
      </w:r>
      <w:r w:rsidR="004D431D">
        <w:t>;</w:t>
      </w:r>
    </w:p>
    <w:p w14:paraId="2B2920E7" w14:textId="3AF1E605" w:rsidR="004D431D" w:rsidRPr="00DC27B3" w:rsidRDefault="00DC27B3" w:rsidP="00881557">
      <w:pPr>
        <w:pStyle w:val="ListParagraph"/>
        <w:numPr>
          <w:ilvl w:val="0"/>
          <w:numId w:val="4"/>
        </w:numPr>
        <w:spacing w:after="0" w:line="240" w:lineRule="auto"/>
      </w:pPr>
      <w:r w:rsidRPr="00FE313E">
        <w:rPr>
          <w:b/>
          <w:bCs/>
        </w:rPr>
        <w:t>Facilitate peer-to-peer learning</w:t>
      </w:r>
      <w:r w:rsidRPr="00DC27B3">
        <w:t xml:space="preserve"> among grantees through field tours, site visits, </w:t>
      </w:r>
      <w:r w:rsidR="00490AAD" w:rsidRPr="00DC27B3">
        <w:t>workshops,</w:t>
      </w:r>
      <w:r w:rsidRPr="00DC27B3">
        <w:t xml:space="preserve"> and other venues</w:t>
      </w:r>
      <w:r w:rsidR="004D431D">
        <w:t>; and</w:t>
      </w:r>
    </w:p>
    <w:p w14:paraId="2FE7AB92" w14:textId="666B17D5" w:rsidR="00DC27B3" w:rsidRDefault="00DC27B3" w:rsidP="00881557">
      <w:pPr>
        <w:pStyle w:val="ListParagraph"/>
        <w:numPr>
          <w:ilvl w:val="0"/>
          <w:numId w:val="4"/>
        </w:numPr>
        <w:spacing w:after="0" w:line="240" w:lineRule="auto"/>
      </w:pPr>
      <w:r w:rsidRPr="00FE313E">
        <w:rPr>
          <w:b/>
          <w:bCs/>
        </w:rPr>
        <w:t>Facilitate collaborative initiatives</w:t>
      </w:r>
      <w:r w:rsidRPr="00DC27B3">
        <w:t xml:space="preserve"> around NFWF priorities in the designated regions</w:t>
      </w:r>
      <w:r w:rsidR="004D431D">
        <w:t>.</w:t>
      </w:r>
      <w:r w:rsidR="00D86409" w:rsidRPr="00D86409">
        <w:t xml:space="preserve"> </w:t>
      </w:r>
    </w:p>
    <w:p w14:paraId="357E3D97" w14:textId="342FEA43" w:rsidR="00BC5392" w:rsidRPr="00C0687D" w:rsidRDefault="00BC5392" w:rsidP="00881557">
      <w:pPr>
        <w:spacing w:after="0" w:line="240" w:lineRule="auto"/>
        <w:rPr>
          <w:sz w:val="16"/>
          <w:szCs w:val="16"/>
        </w:rPr>
      </w:pPr>
    </w:p>
    <w:p w14:paraId="2D3AE3EF" w14:textId="480C890F" w:rsidR="00BC5392" w:rsidRDefault="00BC5392" w:rsidP="00881557">
      <w:pPr>
        <w:spacing w:after="0" w:line="240" w:lineRule="auto"/>
      </w:pPr>
      <w:r w:rsidRPr="00BC5392">
        <w:t xml:space="preserve">NFWF anticipates the selected contractors will share field support activities and coordinate with NFWF professional staff to ensure completed coverage of NFWF’s Central Appalachia and </w:t>
      </w:r>
      <w:r w:rsidR="00C0687D">
        <w:t>CBSF</w:t>
      </w:r>
      <w:r w:rsidRPr="00BC5392">
        <w:t xml:space="preserve"> grants portfolios</w:t>
      </w:r>
      <w:r>
        <w:t xml:space="preserve"> </w:t>
      </w:r>
      <w:r w:rsidR="00B21384">
        <w:t>through the following tasks and levels of effort:</w:t>
      </w:r>
    </w:p>
    <w:p w14:paraId="4CF4405E" w14:textId="51562E43" w:rsidR="00BC5392" w:rsidRPr="00C0687D" w:rsidRDefault="00BC5392" w:rsidP="00881557">
      <w:pPr>
        <w:spacing w:after="0" w:line="240" w:lineRule="auto"/>
        <w:rPr>
          <w:sz w:val="16"/>
          <w:szCs w:val="16"/>
        </w:rPr>
      </w:pPr>
    </w:p>
    <w:p w14:paraId="0612C0B4" w14:textId="7CDF71B7" w:rsidR="00BC5392" w:rsidRPr="002035D3" w:rsidRDefault="00BC5392" w:rsidP="00881557">
      <w:pPr>
        <w:spacing w:line="240" w:lineRule="auto"/>
        <w:ind w:left="720"/>
        <w:rPr>
          <w:rFonts w:cs="Times New Roman TUR"/>
          <w:b/>
          <w:bCs/>
          <w:color w:val="000000" w:themeColor="text1"/>
        </w:rPr>
      </w:pPr>
      <w:r>
        <w:rPr>
          <w:rFonts w:cs="Times New Roman TUR"/>
          <w:b/>
          <w:bCs/>
          <w:color w:val="000000" w:themeColor="text1"/>
        </w:rPr>
        <w:t xml:space="preserve">Annual </w:t>
      </w:r>
      <w:r w:rsidRPr="002035D3">
        <w:rPr>
          <w:rFonts w:cs="Times New Roman TUR"/>
          <w:b/>
          <w:bCs/>
          <w:color w:val="000000" w:themeColor="text1"/>
        </w:rPr>
        <w:t xml:space="preserve">Field Liaison </w:t>
      </w:r>
      <w:r>
        <w:rPr>
          <w:rFonts w:cs="Times New Roman TUR"/>
          <w:b/>
          <w:bCs/>
          <w:color w:val="000000" w:themeColor="text1"/>
        </w:rPr>
        <w:t>ca</w:t>
      </w:r>
      <w:r w:rsidRPr="002035D3">
        <w:rPr>
          <w:rFonts w:cs="Times New Roman TUR"/>
          <w:b/>
          <w:bCs/>
          <w:color w:val="000000" w:themeColor="text1"/>
        </w:rPr>
        <w:t xml:space="preserve">pacity </w:t>
      </w:r>
      <w:r>
        <w:rPr>
          <w:rFonts w:cs="Times New Roman TUR"/>
          <w:b/>
          <w:bCs/>
          <w:color w:val="000000" w:themeColor="text1"/>
        </w:rPr>
        <w:t xml:space="preserve">needs </w:t>
      </w:r>
      <w:r w:rsidRPr="002035D3">
        <w:rPr>
          <w:rFonts w:cs="Times New Roman TUR"/>
          <w:b/>
          <w:bCs/>
          <w:color w:val="000000" w:themeColor="text1"/>
        </w:rPr>
        <w:t xml:space="preserve">(shared across a team of liaisons) for </w:t>
      </w:r>
      <w:r w:rsidR="00C0687D">
        <w:rPr>
          <w:rFonts w:cs="Times New Roman TUR"/>
          <w:b/>
          <w:bCs/>
          <w:color w:val="000000" w:themeColor="text1"/>
        </w:rPr>
        <w:t>CBSF</w:t>
      </w:r>
      <w:r w:rsidRPr="002035D3">
        <w:rPr>
          <w:rFonts w:cs="Times New Roman TUR"/>
          <w:b/>
          <w:bCs/>
          <w:color w:val="000000" w:themeColor="text1"/>
        </w:rPr>
        <w:t>:</w:t>
      </w:r>
    </w:p>
    <w:tbl>
      <w:tblPr>
        <w:tblW w:w="8210" w:type="dxa"/>
        <w:jc w:val="center"/>
        <w:tblCellMar>
          <w:left w:w="0" w:type="dxa"/>
          <w:right w:w="0" w:type="dxa"/>
        </w:tblCellMar>
        <w:tblLook w:val="04A0" w:firstRow="1" w:lastRow="0" w:firstColumn="1" w:lastColumn="0" w:noHBand="0" w:noVBand="1"/>
      </w:tblPr>
      <w:tblGrid>
        <w:gridCol w:w="6290"/>
        <w:gridCol w:w="960"/>
        <w:gridCol w:w="960"/>
      </w:tblGrid>
      <w:tr w:rsidR="00BC5392" w14:paraId="5132959D" w14:textId="77777777" w:rsidTr="004C0A57">
        <w:trPr>
          <w:trHeight w:val="234"/>
          <w:jc w:val="center"/>
        </w:trPr>
        <w:tc>
          <w:tcPr>
            <w:tcW w:w="6290" w:type="dxa"/>
            <w:noWrap/>
            <w:tcMar>
              <w:top w:w="0" w:type="dxa"/>
              <w:left w:w="108" w:type="dxa"/>
              <w:bottom w:w="0" w:type="dxa"/>
              <w:right w:w="108" w:type="dxa"/>
            </w:tcMar>
            <w:vAlign w:val="center"/>
            <w:hideMark/>
          </w:tcPr>
          <w:p w14:paraId="18775EB5" w14:textId="77777777" w:rsidR="00BC5392" w:rsidRDefault="00BC5392" w:rsidP="00881557">
            <w:pPr>
              <w:spacing w:after="0" w:line="240" w:lineRule="auto"/>
              <w:rPr>
                <w:sz w:val="20"/>
                <w:szCs w:val="20"/>
              </w:rPr>
            </w:pPr>
          </w:p>
        </w:tc>
        <w:tc>
          <w:tcPr>
            <w:tcW w:w="960" w:type="dxa"/>
            <w:noWrap/>
            <w:tcMar>
              <w:top w:w="0" w:type="dxa"/>
              <w:left w:w="108" w:type="dxa"/>
              <w:bottom w:w="0" w:type="dxa"/>
              <w:right w:w="108" w:type="dxa"/>
            </w:tcMar>
            <w:vAlign w:val="center"/>
            <w:hideMark/>
          </w:tcPr>
          <w:p w14:paraId="36790AC4" w14:textId="77777777" w:rsidR="00BC5392" w:rsidRDefault="00BC5392" w:rsidP="00881557">
            <w:pPr>
              <w:spacing w:line="240" w:lineRule="auto"/>
              <w:jc w:val="center"/>
              <w:rPr>
                <w:rFonts w:eastAsiaTheme="minorHAnsi" w:cs="Calibri"/>
                <w:color w:val="000000"/>
              </w:rPr>
            </w:pPr>
            <w:r>
              <w:rPr>
                <w:color w:val="000000"/>
              </w:rPr>
              <w:t>Hours</w:t>
            </w:r>
          </w:p>
        </w:tc>
        <w:tc>
          <w:tcPr>
            <w:tcW w:w="960" w:type="dxa"/>
            <w:noWrap/>
            <w:tcMar>
              <w:top w:w="0" w:type="dxa"/>
              <w:left w:w="108" w:type="dxa"/>
              <w:bottom w:w="0" w:type="dxa"/>
              <w:right w:w="108" w:type="dxa"/>
            </w:tcMar>
            <w:vAlign w:val="center"/>
            <w:hideMark/>
          </w:tcPr>
          <w:p w14:paraId="5C9EBFD7" w14:textId="77777777" w:rsidR="00BC5392" w:rsidRDefault="00BC5392" w:rsidP="00881557">
            <w:pPr>
              <w:spacing w:line="240" w:lineRule="auto"/>
              <w:jc w:val="center"/>
              <w:rPr>
                <w:color w:val="000000"/>
              </w:rPr>
            </w:pPr>
            <w:r>
              <w:rPr>
                <w:color w:val="000000"/>
              </w:rPr>
              <w:t>Percent</w:t>
            </w:r>
          </w:p>
        </w:tc>
      </w:tr>
      <w:tr w:rsidR="00BC5392" w14:paraId="48C1F326" w14:textId="77777777" w:rsidTr="004C0A57">
        <w:trPr>
          <w:trHeight w:val="600"/>
          <w:jc w:val="center"/>
        </w:trPr>
        <w:tc>
          <w:tcPr>
            <w:tcW w:w="6290" w:type="dxa"/>
            <w:tcBorders>
              <w:top w:val="single" w:sz="8" w:space="0" w:color="808080"/>
              <w:left w:val="single" w:sz="8" w:space="0" w:color="808080"/>
              <w:bottom w:val="single" w:sz="8" w:space="0" w:color="808080"/>
              <w:right w:val="single" w:sz="8" w:space="0" w:color="808080"/>
            </w:tcBorders>
            <w:shd w:val="clear" w:color="auto" w:fill="FFF2CC"/>
            <w:noWrap/>
            <w:tcMar>
              <w:top w:w="0" w:type="dxa"/>
              <w:left w:w="108" w:type="dxa"/>
              <w:bottom w:w="0" w:type="dxa"/>
              <w:right w:w="108" w:type="dxa"/>
            </w:tcMar>
            <w:vAlign w:val="center"/>
            <w:hideMark/>
          </w:tcPr>
          <w:p w14:paraId="1CA28134" w14:textId="77777777" w:rsidR="00BC5392" w:rsidRDefault="00BC5392" w:rsidP="00881557">
            <w:pPr>
              <w:spacing w:line="240" w:lineRule="auto"/>
              <w:rPr>
                <w:color w:val="000000"/>
              </w:rPr>
            </w:pPr>
            <w:r>
              <w:rPr>
                <w:color w:val="000000"/>
              </w:rPr>
              <w:t>Project, Proposal, and Partnership Development</w:t>
            </w:r>
          </w:p>
        </w:tc>
        <w:tc>
          <w:tcPr>
            <w:tcW w:w="960" w:type="dxa"/>
            <w:tcBorders>
              <w:top w:val="single" w:sz="8" w:space="0" w:color="808080"/>
              <w:left w:val="nil"/>
              <w:bottom w:val="single" w:sz="8" w:space="0" w:color="808080"/>
              <w:right w:val="single" w:sz="8" w:space="0" w:color="808080"/>
            </w:tcBorders>
            <w:shd w:val="clear" w:color="auto" w:fill="FFF2CC"/>
            <w:noWrap/>
            <w:tcMar>
              <w:top w:w="0" w:type="dxa"/>
              <w:left w:w="108" w:type="dxa"/>
              <w:bottom w:w="0" w:type="dxa"/>
              <w:right w:w="108" w:type="dxa"/>
            </w:tcMar>
            <w:vAlign w:val="center"/>
            <w:hideMark/>
          </w:tcPr>
          <w:p w14:paraId="21436137" w14:textId="5DAAC922" w:rsidR="00BC5392" w:rsidRDefault="00FE313E" w:rsidP="00881557">
            <w:pPr>
              <w:spacing w:line="240" w:lineRule="auto"/>
              <w:jc w:val="right"/>
              <w:rPr>
                <w:color w:val="000000"/>
              </w:rPr>
            </w:pPr>
            <w:r>
              <w:rPr>
                <w:color w:val="000000"/>
              </w:rPr>
              <w:t>3</w:t>
            </w:r>
            <w:r w:rsidR="00BC5392">
              <w:rPr>
                <w:color w:val="000000"/>
              </w:rPr>
              <w:t>500</w:t>
            </w:r>
          </w:p>
        </w:tc>
        <w:tc>
          <w:tcPr>
            <w:tcW w:w="960" w:type="dxa"/>
            <w:tcBorders>
              <w:top w:val="single" w:sz="8" w:space="0" w:color="808080"/>
              <w:left w:val="nil"/>
              <w:bottom w:val="single" w:sz="8" w:space="0" w:color="808080"/>
              <w:right w:val="single" w:sz="8" w:space="0" w:color="808080"/>
            </w:tcBorders>
            <w:shd w:val="clear" w:color="auto" w:fill="FFF2CC"/>
            <w:noWrap/>
            <w:tcMar>
              <w:top w:w="0" w:type="dxa"/>
              <w:left w:w="108" w:type="dxa"/>
              <w:bottom w:w="0" w:type="dxa"/>
              <w:right w:w="108" w:type="dxa"/>
            </w:tcMar>
            <w:vAlign w:val="center"/>
            <w:hideMark/>
          </w:tcPr>
          <w:p w14:paraId="30F52CBC" w14:textId="77777777" w:rsidR="00BC5392" w:rsidRDefault="00BC5392" w:rsidP="00881557">
            <w:pPr>
              <w:spacing w:line="240" w:lineRule="auto"/>
              <w:jc w:val="right"/>
              <w:rPr>
                <w:color w:val="000000"/>
              </w:rPr>
            </w:pPr>
            <w:r>
              <w:rPr>
                <w:color w:val="000000"/>
              </w:rPr>
              <w:t>50.0%</w:t>
            </w:r>
          </w:p>
        </w:tc>
      </w:tr>
      <w:tr w:rsidR="00BC5392" w14:paraId="05CBE07A" w14:textId="77777777" w:rsidTr="004C0A57">
        <w:trPr>
          <w:trHeight w:val="600"/>
          <w:jc w:val="center"/>
        </w:trPr>
        <w:tc>
          <w:tcPr>
            <w:tcW w:w="6290" w:type="dxa"/>
            <w:tcBorders>
              <w:top w:val="nil"/>
              <w:left w:val="single" w:sz="8" w:space="0" w:color="808080"/>
              <w:bottom w:val="single" w:sz="8" w:space="0" w:color="808080"/>
              <w:right w:val="single" w:sz="8" w:space="0" w:color="808080"/>
            </w:tcBorders>
            <w:shd w:val="clear" w:color="auto" w:fill="DDEBF7"/>
            <w:noWrap/>
            <w:tcMar>
              <w:top w:w="0" w:type="dxa"/>
              <w:left w:w="108" w:type="dxa"/>
              <w:bottom w:w="0" w:type="dxa"/>
              <w:right w:w="108" w:type="dxa"/>
            </w:tcMar>
            <w:vAlign w:val="center"/>
            <w:hideMark/>
          </w:tcPr>
          <w:p w14:paraId="5399E440" w14:textId="77777777" w:rsidR="00BC5392" w:rsidRDefault="00BC5392" w:rsidP="00881557">
            <w:pPr>
              <w:spacing w:line="240" w:lineRule="auto"/>
              <w:rPr>
                <w:color w:val="000000"/>
              </w:rPr>
            </w:pPr>
            <w:r>
              <w:rPr>
                <w:color w:val="000000"/>
              </w:rPr>
              <w:t>Ongoing Project Oversight, Evaluation, and Assessment</w:t>
            </w:r>
          </w:p>
        </w:tc>
        <w:tc>
          <w:tcPr>
            <w:tcW w:w="960" w:type="dxa"/>
            <w:tcBorders>
              <w:top w:val="nil"/>
              <w:left w:val="nil"/>
              <w:bottom w:val="single" w:sz="8" w:space="0" w:color="808080"/>
              <w:right w:val="single" w:sz="8" w:space="0" w:color="808080"/>
            </w:tcBorders>
            <w:shd w:val="clear" w:color="auto" w:fill="DDEBF7"/>
            <w:noWrap/>
            <w:tcMar>
              <w:top w:w="0" w:type="dxa"/>
              <w:left w:w="108" w:type="dxa"/>
              <w:bottom w:w="0" w:type="dxa"/>
              <w:right w:w="108" w:type="dxa"/>
            </w:tcMar>
            <w:vAlign w:val="center"/>
            <w:hideMark/>
          </w:tcPr>
          <w:p w14:paraId="51D65739" w14:textId="157280C3" w:rsidR="00BC5392" w:rsidRDefault="00FE313E" w:rsidP="00881557">
            <w:pPr>
              <w:spacing w:line="240" w:lineRule="auto"/>
              <w:jc w:val="right"/>
              <w:rPr>
                <w:color w:val="000000"/>
              </w:rPr>
            </w:pPr>
            <w:r>
              <w:rPr>
                <w:color w:val="000000"/>
              </w:rPr>
              <w:t>1750</w:t>
            </w:r>
          </w:p>
        </w:tc>
        <w:tc>
          <w:tcPr>
            <w:tcW w:w="960" w:type="dxa"/>
            <w:tcBorders>
              <w:top w:val="nil"/>
              <w:left w:val="nil"/>
              <w:bottom w:val="single" w:sz="8" w:space="0" w:color="808080"/>
              <w:right w:val="single" w:sz="8" w:space="0" w:color="808080"/>
            </w:tcBorders>
            <w:shd w:val="clear" w:color="auto" w:fill="DDEBF7"/>
            <w:noWrap/>
            <w:tcMar>
              <w:top w:w="0" w:type="dxa"/>
              <w:left w:w="108" w:type="dxa"/>
              <w:bottom w:w="0" w:type="dxa"/>
              <w:right w:w="108" w:type="dxa"/>
            </w:tcMar>
            <w:vAlign w:val="center"/>
            <w:hideMark/>
          </w:tcPr>
          <w:p w14:paraId="26DCF5BB" w14:textId="77777777" w:rsidR="00BC5392" w:rsidRDefault="00BC5392" w:rsidP="00881557">
            <w:pPr>
              <w:spacing w:line="240" w:lineRule="auto"/>
              <w:jc w:val="right"/>
              <w:rPr>
                <w:color w:val="000000"/>
              </w:rPr>
            </w:pPr>
            <w:r>
              <w:rPr>
                <w:color w:val="000000"/>
              </w:rPr>
              <w:t>15.0%</w:t>
            </w:r>
          </w:p>
        </w:tc>
      </w:tr>
      <w:tr w:rsidR="00BC5392" w14:paraId="5475FCBD" w14:textId="77777777" w:rsidTr="004C0A57">
        <w:trPr>
          <w:trHeight w:val="600"/>
          <w:jc w:val="center"/>
        </w:trPr>
        <w:tc>
          <w:tcPr>
            <w:tcW w:w="6290" w:type="dxa"/>
            <w:tcBorders>
              <w:top w:val="nil"/>
              <w:left w:val="single" w:sz="8" w:space="0" w:color="808080"/>
              <w:bottom w:val="single" w:sz="8" w:space="0" w:color="808080"/>
              <w:right w:val="single" w:sz="8" w:space="0" w:color="808080"/>
            </w:tcBorders>
            <w:shd w:val="clear" w:color="auto" w:fill="F2F2F2"/>
            <w:noWrap/>
            <w:tcMar>
              <w:top w:w="0" w:type="dxa"/>
              <w:left w:w="108" w:type="dxa"/>
              <w:bottom w:w="0" w:type="dxa"/>
              <w:right w:w="108" w:type="dxa"/>
            </w:tcMar>
            <w:vAlign w:val="center"/>
            <w:hideMark/>
          </w:tcPr>
          <w:p w14:paraId="796F5E1E" w14:textId="77777777" w:rsidR="00BC5392" w:rsidRDefault="00BC5392" w:rsidP="00881557">
            <w:pPr>
              <w:spacing w:line="240" w:lineRule="auto"/>
              <w:rPr>
                <w:color w:val="000000"/>
              </w:rPr>
            </w:pPr>
            <w:r>
              <w:rPr>
                <w:color w:val="000000"/>
              </w:rPr>
              <w:t>Supporting NFWF and Partner Training, Education, and Networking</w:t>
            </w:r>
          </w:p>
        </w:tc>
        <w:tc>
          <w:tcPr>
            <w:tcW w:w="960" w:type="dxa"/>
            <w:tcBorders>
              <w:top w:val="nil"/>
              <w:left w:val="nil"/>
              <w:bottom w:val="single" w:sz="8" w:space="0" w:color="808080"/>
              <w:right w:val="single" w:sz="8" w:space="0" w:color="808080"/>
            </w:tcBorders>
            <w:shd w:val="clear" w:color="auto" w:fill="F2F2F2"/>
            <w:noWrap/>
            <w:tcMar>
              <w:top w:w="0" w:type="dxa"/>
              <w:left w:w="108" w:type="dxa"/>
              <w:bottom w:w="0" w:type="dxa"/>
              <w:right w:w="108" w:type="dxa"/>
            </w:tcMar>
            <w:vAlign w:val="center"/>
            <w:hideMark/>
          </w:tcPr>
          <w:p w14:paraId="407A8EC6" w14:textId="527F17D1" w:rsidR="00BC5392" w:rsidRDefault="00FE313E" w:rsidP="00881557">
            <w:pPr>
              <w:spacing w:line="240" w:lineRule="auto"/>
              <w:jc w:val="right"/>
              <w:rPr>
                <w:color w:val="000000"/>
              </w:rPr>
            </w:pPr>
            <w:r>
              <w:rPr>
                <w:color w:val="000000"/>
              </w:rPr>
              <w:t>1250</w:t>
            </w:r>
          </w:p>
        </w:tc>
        <w:tc>
          <w:tcPr>
            <w:tcW w:w="960" w:type="dxa"/>
            <w:tcBorders>
              <w:top w:val="nil"/>
              <w:left w:val="nil"/>
              <w:bottom w:val="single" w:sz="8" w:space="0" w:color="808080"/>
              <w:right w:val="single" w:sz="8" w:space="0" w:color="808080"/>
            </w:tcBorders>
            <w:shd w:val="clear" w:color="auto" w:fill="F2F2F2"/>
            <w:noWrap/>
            <w:tcMar>
              <w:top w:w="0" w:type="dxa"/>
              <w:left w:w="108" w:type="dxa"/>
              <w:bottom w:w="0" w:type="dxa"/>
              <w:right w:w="108" w:type="dxa"/>
            </w:tcMar>
            <w:vAlign w:val="center"/>
            <w:hideMark/>
          </w:tcPr>
          <w:p w14:paraId="38C40EBB" w14:textId="77777777" w:rsidR="00BC5392" w:rsidRDefault="00BC5392" w:rsidP="00881557">
            <w:pPr>
              <w:spacing w:line="240" w:lineRule="auto"/>
              <w:jc w:val="right"/>
              <w:rPr>
                <w:color w:val="000000"/>
              </w:rPr>
            </w:pPr>
            <w:r>
              <w:rPr>
                <w:color w:val="000000"/>
              </w:rPr>
              <w:t>15.0%</w:t>
            </w:r>
          </w:p>
        </w:tc>
      </w:tr>
      <w:tr w:rsidR="00BC5392" w14:paraId="1EB2DCAA" w14:textId="77777777" w:rsidTr="004C0A57">
        <w:trPr>
          <w:trHeight w:val="600"/>
          <w:jc w:val="center"/>
        </w:trPr>
        <w:tc>
          <w:tcPr>
            <w:tcW w:w="6290" w:type="dxa"/>
            <w:tcBorders>
              <w:top w:val="nil"/>
              <w:left w:val="single" w:sz="8" w:space="0" w:color="808080"/>
              <w:bottom w:val="single" w:sz="8" w:space="0" w:color="808080"/>
              <w:right w:val="single" w:sz="8" w:space="0" w:color="808080"/>
            </w:tcBorders>
            <w:shd w:val="clear" w:color="auto" w:fill="FCE4D6"/>
            <w:noWrap/>
            <w:tcMar>
              <w:top w:w="0" w:type="dxa"/>
              <w:left w:w="108" w:type="dxa"/>
              <w:bottom w:w="0" w:type="dxa"/>
              <w:right w:w="108" w:type="dxa"/>
            </w:tcMar>
            <w:vAlign w:val="center"/>
            <w:hideMark/>
          </w:tcPr>
          <w:p w14:paraId="4D6DD293" w14:textId="495C7BFB" w:rsidR="00BC5392" w:rsidRDefault="00FC0587" w:rsidP="00881557">
            <w:pPr>
              <w:spacing w:line="240" w:lineRule="auto"/>
              <w:rPr>
                <w:color w:val="000000"/>
              </w:rPr>
            </w:pPr>
            <w:r>
              <w:rPr>
                <w:color w:val="000000"/>
              </w:rPr>
              <w:t>Engagement with Coordinating Bodies</w:t>
            </w:r>
          </w:p>
        </w:tc>
        <w:tc>
          <w:tcPr>
            <w:tcW w:w="960" w:type="dxa"/>
            <w:tcBorders>
              <w:top w:val="nil"/>
              <w:left w:val="nil"/>
              <w:bottom w:val="single" w:sz="8" w:space="0" w:color="808080"/>
              <w:right w:val="single" w:sz="8" w:space="0" w:color="808080"/>
            </w:tcBorders>
            <w:shd w:val="clear" w:color="auto" w:fill="FCE4D6"/>
            <w:noWrap/>
            <w:tcMar>
              <w:top w:w="0" w:type="dxa"/>
              <w:left w:w="108" w:type="dxa"/>
              <w:bottom w:w="0" w:type="dxa"/>
              <w:right w:w="108" w:type="dxa"/>
            </w:tcMar>
            <w:vAlign w:val="center"/>
            <w:hideMark/>
          </w:tcPr>
          <w:p w14:paraId="09342B2C" w14:textId="1CB231B5" w:rsidR="00BC5392" w:rsidRDefault="00FE313E" w:rsidP="00881557">
            <w:pPr>
              <w:spacing w:line="240" w:lineRule="auto"/>
              <w:jc w:val="right"/>
              <w:rPr>
                <w:color w:val="000000"/>
              </w:rPr>
            </w:pPr>
            <w:r>
              <w:rPr>
                <w:color w:val="000000"/>
              </w:rPr>
              <w:t>750</w:t>
            </w:r>
          </w:p>
        </w:tc>
        <w:tc>
          <w:tcPr>
            <w:tcW w:w="960" w:type="dxa"/>
            <w:tcBorders>
              <w:top w:val="nil"/>
              <w:left w:val="nil"/>
              <w:bottom w:val="single" w:sz="8" w:space="0" w:color="808080"/>
              <w:right w:val="single" w:sz="8" w:space="0" w:color="808080"/>
            </w:tcBorders>
            <w:shd w:val="clear" w:color="auto" w:fill="FCE4D6"/>
            <w:noWrap/>
            <w:tcMar>
              <w:top w:w="0" w:type="dxa"/>
              <w:left w:w="108" w:type="dxa"/>
              <w:bottom w:w="0" w:type="dxa"/>
              <w:right w:w="108" w:type="dxa"/>
            </w:tcMar>
            <w:vAlign w:val="center"/>
            <w:hideMark/>
          </w:tcPr>
          <w:p w14:paraId="3168DB53" w14:textId="77777777" w:rsidR="00BC5392" w:rsidRDefault="00BC5392" w:rsidP="00881557">
            <w:pPr>
              <w:spacing w:line="240" w:lineRule="auto"/>
              <w:jc w:val="right"/>
              <w:rPr>
                <w:color w:val="000000"/>
              </w:rPr>
            </w:pPr>
            <w:r>
              <w:rPr>
                <w:color w:val="000000"/>
              </w:rPr>
              <w:t>10.0%</w:t>
            </w:r>
          </w:p>
        </w:tc>
      </w:tr>
      <w:tr w:rsidR="00BC5392" w14:paraId="592EE138" w14:textId="77777777" w:rsidTr="004C0A57">
        <w:trPr>
          <w:trHeight w:val="600"/>
          <w:jc w:val="center"/>
        </w:trPr>
        <w:tc>
          <w:tcPr>
            <w:tcW w:w="6290" w:type="dxa"/>
            <w:tcBorders>
              <w:top w:val="nil"/>
              <w:left w:val="single" w:sz="8" w:space="0" w:color="808080"/>
              <w:bottom w:val="single" w:sz="8" w:space="0" w:color="808080"/>
              <w:right w:val="single" w:sz="8" w:space="0" w:color="808080"/>
            </w:tcBorders>
            <w:shd w:val="clear" w:color="auto" w:fill="E2EFDA"/>
            <w:noWrap/>
            <w:tcMar>
              <w:top w:w="0" w:type="dxa"/>
              <w:left w:w="108" w:type="dxa"/>
              <w:bottom w:w="0" w:type="dxa"/>
              <w:right w:w="108" w:type="dxa"/>
            </w:tcMar>
            <w:vAlign w:val="center"/>
            <w:hideMark/>
          </w:tcPr>
          <w:p w14:paraId="4EC8339C" w14:textId="77777777" w:rsidR="00BC5392" w:rsidRDefault="00BC5392" w:rsidP="00881557">
            <w:pPr>
              <w:spacing w:line="240" w:lineRule="auto"/>
              <w:rPr>
                <w:color w:val="000000"/>
              </w:rPr>
            </w:pPr>
            <w:r>
              <w:rPr>
                <w:color w:val="000000"/>
              </w:rPr>
              <w:t>NFWF-Field Liaison Coordination</w:t>
            </w:r>
          </w:p>
        </w:tc>
        <w:tc>
          <w:tcPr>
            <w:tcW w:w="960" w:type="dxa"/>
            <w:tcBorders>
              <w:top w:val="nil"/>
              <w:left w:val="nil"/>
              <w:bottom w:val="single" w:sz="8" w:space="0" w:color="808080"/>
              <w:right w:val="single" w:sz="8" w:space="0" w:color="808080"/>
            </w:tcBorders>
            <w:shd w:val="clear" w:color="auto" w:fill="E2EFDA"/>
            <w:noWrap/>
            <w:tcMar>
              <w:top w:w="0" w:type="dxa"/>
              <w:left w:w="108" w:type="dxa"/>
              <w:bottom w:w="0" w:type="dxa"/>
              <w:right w:w="108" w:type="dxa"/>
            </w:tcMar>
            <w:vAlign w:val="center"/>
            <w:hideMark/>
          </w:tcPr>
          <w:p w14:paraId="7170B6F1" w14:textId="79C0B059" w:rsidR="00BC5392" w:rsidRDefault="00FE313E" w:rsidP="00881557">
            <w:pPr>
              <w:spacing w:line="240" w:lineRule="auto"/>
              <w:jc w:val="right"/>
              <w:rPr>
                <w:color w:val="000000"/>
              </w:rPr>
            </w:pPr>
            <w:r>
              <w:rPr>
                <w:color w:val="000000"/>
              </w:rPr>
              <w:t>750</w:t>
            </w:r>
          </w:p>
        </w:tc>
        <w:tc>
          <w:tcPr>
            <w:tcW w:w="960" w:type="dxa"/>
            <w:tcBorders>
              <w:top w:val="nil"/>
              <w:left w:val="nil"/>
              <w:bottom w:val="single" w:sz="8" w:space="0" w:color="808080"/>
              <w:right w:val="single" w:sz="8" w:space="0" w:color="808080"/>
            </w:tcBorders>
            <w:shd w:val="clear" w:color="auto" w:fill="E2EFDA"/>
            <w:noWrap/>
            <w:tcMar>
              <w:top w:w="0" w:type="dxa"/>
              <w:left w:w="108" w:type="dxa"/>
              <w:bottom w:w="0" w:type="dxa"/>
              <w:right w:w="108" w:type="dxa"/>
            </w:tcMar>
            <w:vAlign w:val="center"/>
            <w:hideMark/>
          </w:tcPr>
          <w:p w14:paraId="0C274280" w14:textId="77777777" w:rsidR="00BC5392" w:rsidRDefault="00BC5392" w:rsidP="00881557">
            <w:pPr>
              <w:spacing w:line="240" w:lineRule="auto"/>
              <w:jc w:val="right"/>
              <w:rPr>
                <w:color w:val="000000"/>
              </w:rPr>
            </w:pPr>
            <w:r>
              <w:rPr>
                <w:color w:val="000000"/>
              </w:rPr>
              <w:t>10.0%</w:t>
            </w:r>
          </w:p>
        </w:tc>
      </w:tr>
      <w:tr w:rsidR="00BC5392" w14:paraId="06553F81" w14:textId="77777777" w:rsidTr="004C0A57">
        <w:trPr>
          <w:trHeight w:val="288"/>
          <w:jc w:val="center"/>
        </w:trPr>
        <w:tc>
          <w:tcPr>
            <w:tcW w:w="6290" w:type="dxa"/>
            <w:noWrap/>
            <w:tcMar>
              <w:top w:w="0" w:type="dxa"/>
              <w:left w:w="108" w:type="dxa"/>
              <w:bottom w:w="0" w:type="dxa"/>
              <w:right w:w="108" w:type="dxa"/>
            </w:tcMar>
            <w:vAlign w:val="center"/>
            <w:hideMark/>
          </w:tcPr>
          <w:p w14:paraId="76830E70" w14:textId="77777777" w:rsidR="00BC5392" w:rsidRDefault="00BC5392" w:rsidP="00881557">
            <w:pPr>
              <w:spacing w:line="240" w:lineRule="auto"/>
              <w:rPr>
                <w:color w:val="000000"/>
              </w:rPr>
            </w:pPr>
          </w:p>
        </w:tc>
        <w:tc>
          <w:tcPr>
            <w:tcW w:w="960" w:type="dxa"/>
            <w:noWrap/>
            <w:tcMar>
              <w:top w:w="0" w:type="dxa"/>
              <w:left w:w="108" w:type="dxa"/>
              <w:bottom w:w="0" w:type="dxa"/>
              <w:right w:w="108" w:type="dxa"/>
            </w:tcMar>
            <w:vAlign w:val="center"/>
            <w:hideMark/>
          </w:tcPr>
          <w:p w14:paraId="1CCDCA83" w14:textId="77777777" w:rsidR="00BC5392" w:rsidRDefault="00BC5392" w:rsidP="00881557">
            <w:pPr>
              <w:spacing w:line="240" w:lineRule="auto"/>
              <w:rPr>
                <w:rFonts w:ascii="Times New Roman" w:eastAsia="Times New Roman" w:hAnsi="Times New Roman"/>
                <w:sz w:val="20"/>
                <w:szCs w:val="20"/>
              </w:rPr>
            </w:pPr>
          </w:p>
        </w:tc>
        <w:tc>
          <w:tcPr>
            <w:tcW w:w="960" w:type="dxa"/>
            <w:noWrap/>
            <w:tcMar>
              <w:top w:w="0" w:type="dxa"/>
              <w:left w:w="108" w:type="dxa"/>
              <w:bottom w:w="0" w:type="dxa"/>
              <w:right w:w="108" w:type="dxa"/>
            </w:tcMar>
            <w:vAlign w:val="center"/>
            <w:hideMark/>
          </w:tcPr>
          <w:p w14:paraId="1DDEC5C1" w14:textId="77777777" w:rsidR="00BC5392" w:rsidRDefault="00BC5392" w:rsidP="00881557">
            <w:pPr>
              <w:spacing w:line="240" w:lineRule="auto"/>
              <w:rPr>
                <w:rFonts w:ascii="Times New Roman" w:eastAsia="Times New Roman" w:hAnsi="Times New Roman"/>
                <w:sz w:val="20"/>
                <w:szCs w:val="20"/>
              </w:rPr>
            </w:pPr>
          </w:p>
        </w:tc>
      </w:tr>
      <w:tr w:rsidR="00BC5392" w14:paraId="3FD52568" w14:textId="77777777" w:rsidTr="004C0A57">
        <w:trPr>
          <w:trHeight w:val="288"/>
          <w:jc w:val="center"/>
        </w:trPr>
        <w:tc>
          <w:tcPr>
            <w:tcW w:w="6290" w:type="dxa"/>
            <w:noWrap/>
            <w:tcMar>
              <w:top w:w="0" w:type="dxa"/>
              <w:left w:w="108" w:type="dxa"/>
              <w:bottom w:w="0" w:type="dxa"/>
              <w:right w:w="108" w:type="dxa"/>
            </w:tcMar>
            <w:vAlign w:val="center"/>
            <w:hideMark/>
          </w:tcPr>
          <w:p w14:paraId="0F71E8CB" w14:textId="77777777" w:rsidR="00BC5392" w:rsidRDefault="00BC5392" w:rsidP="00881557">
            <w:pPr>
              <w:spacing w:line="240" w:lineRule="auto"/>
              <w:jc w:val="right"/>
              <w:rPr>
                <w:rFonts w:eastAsiaTheme="minorHAnsi" w:cs="Calibri"/>
                <w:color w:val="000000"/>
              </w:rPr>
            </w:pPr>
            <w:r>
              <w:rPr>
                <w:color w:val="000000"/>
              </w:rPr>
              <w:t>TOTAL HRS</w:t>
            </w:r>
          </w:p>
        </w:tc>
        <w:tc>
          <w:tcPr>
            <w:tcW w:w="960" w:type="dxa"/>
            <w:noWrap/>
            <w:tcMar>
              <w:top w:w="0" w:type="dxa"/>
              <w:left w:w="108" w:type="dxa"/>
              <w:bottom w:w="0" w:type="dxa"/>
              <w:right w:w="108" w:type="dxa"/>
            </w:tcMar>
            <w:vAlign w:val="center"/>
            <w:hideMark/>
          </w:tcPr>
          <w:p w14:paraId="1FFC7EAD" w14:textId="13CD5990" w:rsidR="00BC5392" w:rsidRDefault="00FE313E" w:rsidP="00881557">
            <w:pPr>
              <w:spacing w:line="240" w:lineRule="auto"/>
              <w:jc w:val="right"/>
              <w:rPr>
                <w:color w:val="000000"/>
              </w:rPr>
            </w:pPr>
            <w:r>
              <w:rPr>
                <w:color w:val="000000"/>
              </w:rPr>
              <w:t>8</w:t>
            </w:r>
            <w:r w:rsidR="00BC5392">
              <w:rPr>
                <w:color w:val="000000"/>
              </w:rPr>
              <w:t>000</w:t>
            </w:r>
          </w:p>
        </w:tc>
        <w:tc>
          <w:tcPr>
            <w:tcW w:w="960" w:type="dxa"/>
            <w:noWrap/>
            <w:tcMar>
              <w:top w:w="0" w:type="dxa"/>
              <w:left w:w="108" w:type="dxa"/>
              <w:bottom w:w="0" w:type="dxa"/>
              <w:right w:w="108" w:type="dxa"/>
            </w:tcMar>
            <w:vAlign w:val="center"/>
            <w:hideMark/>
          </w:tcPr>
          <w:p w14:paraId="34947EE7" w14:textId="77777777" w:rsidR="00BC5392" w:rsidRDefault="00BC5392" w:rsidP="00881557">
            <w:pPr>
              <w:spacing w:line="240" w:lineRule="auto"/>
              <w:jc w:val="right"/>
              <w:rPr>
                <w:color w:val="000000"/>
              </w:rPr>
            </w:pPr>
            <w:r>
              <w:rPr>
                <w:color w:val="000000"/>
              </w:rPr>
              <w:t>100.0%</w:t>
            </w:r>
          </w:p>
        </w:tc>
      </w:tr>
    </w:tbl>
    <w:p w14:paraId="22AE4A9C" w14:textId="1699988C" w:rsidR="00FF78C9" w:rsidRDefault="00FF78C9" w:rsidP="00881557">
      <w:pPr>
        <w:spacing w:after="0" w:line="240" w:lineRule="auto"/>
        <w:ind w:firstLine="720"/>
        <w:rPr>
          <w:color w:val="000000"/>
        </w:rPr>
      </w:pPr>
      <w:r>
        <w:rPr>
          <w:color w:val="000000"/>
        </w:rPr>
        <w:t>*</w:t>
      </w:r>
      <w:r w:rsidRPr="00FF78C9">
        <w:rPr>
          <w:color w:val="000000"/>
        </w:rPr>
        <w:t>Estimated capacity needs, subject to change prior to</w:t>
      </w:r>
      <w:r>
        <w:rPr>
          <w:color w:val="000000"/>
        </w:rPr>
        <w:t xml:space="preserve"> </w:t>
      </w:r>
      <w:r w:rsidRPr="00FF78C9">
        <w:rPr>
          <w:color w:val="000000"/>
        </w:rPr>
        <w:t>contracting</w:t>
      </w:r>
    </w:p>
    <w:p w14:paraId="1D7DFEEA" w14:textId="77777777" w:rsidR="00C0687D" w:rsidRPr="00C0687D" w:rsidRDefault="00C0687D" w:rsidP="00881557">
      <w:pPr>
        <w:spacing w:after="0" w:line="240" w:lineRule="auto"/>
        <w:ind w:firstLine="720"/>
        <w:rPr>
          <w:color w:val="000000"/>
          <w:sz w:val="16"/>
          <w:szCs w:val="16"/>
        </w:rPr>
      </w:pPr>
    </w:p>
    <w:p w14:paraId="6F08D72D" w14:textId="488B4A4D" w:rsidR="00BC5392" w:rsidRPr="00BC5392" w:rsidRDefault="00BC5392" w:rsidP="00881557">
      <w:pPr>
        <w:spacing w:line="240" w:lineRule="auto"/>
        <w:ind w:left="720"/>
        <w:rPr>
          <w:rFonts w:cs="Times New Roman TUR"/>
          <w:b/>
          <w:bCs/>
          <w:color w:val="000000" w:themeColor="text1"/>
        </w:rPr>
      </w:pPr>
      <w:r>
        <w:rPr>
          <w:rFonts w:cs="Times New Roman TUR"/>
          <w:b/>
          <w:bCs/>
          <w:color w:val="000000" w:themeColor="text1"/>
        </w:rPr>
        <w:t>Annual</w:t>
      </w:r>
      <w:r w:rsidRPr="002035D3">
        <w:rPr>
          <w:rFonts w:cs="Times New Roman TUR"/>
          <w:b/>
          <w:bCs/>
          <w:color w:val="000000" w:themeColor="text1"/>
        </w:rPr>
        <w:t xml:space="preserve"> Field Liaison </w:t>
      </w:r>
      <w:r>
        <w:rPr>
          <w:rFonts w:cs="Times New Roman TUR"/>
          <w:b/>
          <w:bCs/>
          <w:color w:val="000000" w:themeColor="text1"/>
        </w:rPr>
        <w:t>ca</w:t>
      </w:r>
      <w:r w:rsidRPr="002035D3">
        <w:rPr>
          <w:rFonts w:cs="Times New Roman TUR"/>
          <w:b/>
          <w:bCs/>
          <w:color w:val="000000" w:themeColor="text1"/>
        </w:rPr>
        <w:t xml:space="preserve">pacity </w:t>
      </w:r>
      <w:r>
        <w:rPr>
          <w:rFonts w:cs="Times New Roman TUR"/>
          <w:b/>
          <w:bCs/>
          <w:color w:val="000000" w:themeColor="text1"/>
        </w:rPr>
        <w:t xml:space="preserve">needs </w:t>
      </w:r>
      <w:r w:rsidRPr="002035D3">
        <w:rPr>
          <w:rFonts w:cs="Times New Roman TUR"/>
          <w:b/>
          <w:bCs/>
          <w:color w:val="000000" w:themeColor="text1"/>
        </w:rPr>
        <w:t>(</w:t>
      </w:r>
      <w:r>
        <w:rPr>
          <w:rFonts w:cs="Times New Roman TUR"/>
          <w:b/>
          <w:bCs/>
          <w:color w:val="000000" w:themeColor="text1"/>
        </w:rPr>
        <w:t xml:space="preserve">for one field liaison or </w:t>
      </w:r>
      <w:r w:rsidRPr="002035D3">
        <w:rPr>
          <w:rFonts w:cs="Times New Roman TUR"/>
          <w:b/>
          <w:bCs/>
          <w:color w:val="000000" w:themeColor="text1"/>
        </w:rPr>
        <w:t xml:space="preserve">shared across </w:t>
      </w:r>
      <w:r>
        <w:rPr>
          <w:rFonts w:cs="Times New Roman TUR"/>
          <w:b/>
          <w:bCs/>
          <w:color w:val="000000" w:themeColor="text1"/>
        </w:rPr>
        <w:t>several field</w:t>
      </w:r>
      <w:r w:rsidRPr="002035D3">
        <w:rPr>
          <w:rFonts w:cs="Times New Roman TUR"/>
          <w:b/>
          <w:bCs/>
          <w:color w:val="000000" w:themeColor="text1"/>
        </w:rPr>
        <w:t xml:space="preserve"> liaisons) for the </w:t>
      </w:r>
      <w:r w:rsidRPr="00BC5392">
        <w:rPr>
          <w:b/>
          <w:bCs/>
        </w:rPr>
        <w:t>Central Appalachia Habitat Stewardship Program</w:t>
      </w:r>
      <w:r w:rsidRPr="00BC5392">
        <w:rPr>
          <w:rFonts w:cs="Times New Roman TUR"/>
          <w:b/>
          <w:bCs/>
          <w:color w:val="000000" w:themeColor="text1"/>
        </w:rPr>
        <w:t>:</w:t>
      </w:r>
    </w:p>
    <w:tbl>
      <w:tblPr>
        <w:tblW w:w="8210" w:type="dxa"/>
        <w:jc w:val="center"/>
        <w:tblCellMar>
          <w:left w:w="0" w:type="dxa"/>
          <w:right w:w="0" w:type="dxa"/>
        </w:tblCellMar>
        <w:tblLook w:val="04A0" w:firstRow="1" w:lastRow="0" w:firstColumn="1" w:lastColumn="0" w:noHBand="0" w:noVBand="1"/>
      </w:tblPr>
      <w:tblGrid>
        <w:gridCol w:w="6290"/>
        <w:gridCol w:w="960"/>
        <w:gridCol w:w="960"/>
      </w:tblGrid>
      <w:tr w:rsidR="00BC5392" w14:paraId="6129A929" w14:textId="77777777" w:rsidTr="004C0A57">
        <w:trPr>
          <w:trHeight w:val="288"/>
          <w:jc w:val="center"/>
        </w:trPr>
        <w:tc>
          <w:tcPr>
            <w:tcW w:w="6290" w:type="dxa"/>
            <w:noWrap/>
            <w:tcMar>
              <w:top w:w="0" w:type="dxa"/>
              <w:left w:w="108" w:type="dxa"/>
              <w:bottom w:w="0" w:type="dxa"/>
              <w:right w:w="108" w:type="dxa"/>
            </w:tcMar>
            <w:vAlign w:val="center"/>
            <w:hideMark/>
          </w:tcPr>
          <w:p w14:paraId="4133D5BB" w14:textId="77777777" w:rsidR="00BC5392" w:rsidRDefault="00BC5392" w:rsidP="00881557">
            <w:pPr>
              <w:spacing w:after="0" w:line="240" w:lineRule="auto"/>
              <w:rPr>
                <w:sz w:val="20"/>
                <w:szCs w:val="20"/>
              </w:rPr>
            </w:pPr>
          </w:p>
        </w:tc>
        <w:tc>
          <w:tcPr>
            <w:tcW w:w="960" w:type="dxa"/>
            <w:noWrap/>
            <w:tcMar>
              <w:top w:w="0" w:type="dxa"/>
              <w:left w:w="108" w:type="dxa"/>
              <w:bottom w:w="0" w:type="dxa"/>
              <w:right w:w="108" w:type="dxa"/>
            </w:tcMar>
            <w:vAlign w:val="center"/>
            <w:hideMark/>
          </w:tcPr>
          <w:p w14:paraId="7C9B2E7D" w14:textId="77777777" w:rsidR="00BC5392" w:rsidRDefault="00BC5392" w:rsidP="00881557">
            <w:pPr>
              <w:spacing w:line="240" w:lineRule="auto"/>
              <w:jc w:val="center"/>
              <w:rPr>
                <w:rFonts w:eastAsiaTheme="minorHAnsi" w:cs="Calibri"/>
                <w:color w:val="000000"/>
              </w:rPr>
            </w:pPr>
            <w:r>
              <w:rPr>
                <w:color w:val="000000"/>
              </w:rPr>
              <w:t>Hours</w:t>
            </w:r>
          </w:p>
        </w:tc>
        <w:tc>
          <w:tcPr>
            <w:tcW w:w="960" w:type="dxa"/>
            <w:noWrap/>
            <w:tcMar>
              <w:top w:w="0" w:type="dxa"/>
              <w:left w:w="108" w:type="dxa"/>
              <w:bottom w:w="0" w:type="dxa"/>
              <w:right w:w="108" w:type="dxa"/>
            </w:tcMar>
            <w:vAlign w:val="center"/>
            <w:hideMark/>
          </w:tcPr>
          <w:p w14:paraId="68535D28" w14:textId="77777777" w:rsidR="00BC5392" w:rsidRDefault="00BC5392" w:rsidP="00881557">
            <w:pPr>
              <w:spacing w:line="240" w:lineRule="auto"/>
              <w:jc w:val="center"/>
              <w:rPr>
                <w:color w:val="000000"/>
              </w:rPr>
            </w:pPr>
            <w:r>
              <w:rPr>
                <w:color w:val="000000"/>
              </w:rPr>
              <w:t>Percent</w:t>
            </w:r>
          </w:p>
        </w:tc>
      </w:tr>
      <w:tr w:rsidR="00BC5392" w14:paraId="27F5C4A2" w14:textId="77777777" w:rsidTr="004C0A57">
        <w:trPr>
          <w:trHeight w:val="600"/>
          <w:jc w:val="center"/>
        </w:trPr>
        <w:tc>
          <w:tcPr>
            <w:tcW w:w="6290" w:type="dxa"/>
            <w:tcBorders>
              <w:top w:val="single" w:sz="8" w:space="0" w:color="808080"/>
              <w:left w:val="single" w:sz="8" w:space="0" w:color="808080"/>
              <w:bottom w:val="single" w:sz="8" w:space="0" w:color="808080"/>
              <w:right w:val="single" w:sz="8" w:space="0" w:color="808080"/>
            </w:tcBorders>
            <w:shd w:val="clear" w:color="auto" w:fill="FFF2CC"/>
            <w:noWrap/>
            <w:tcMar>
              <w:top w:w="0" w:type="dxa"/>
              <w:left w:w="108" w:type="dxa"/>
              <w:bottom w:w="0" w:type="dxa"/>
              <w:right w:w="108" w:type="dxa"/>
            </w:tcMar>
            <w:vAlign w:val="center"/>
            <w:hideMark/>
          </w:tcPr>
          <w:p w14:paraId="164B7DBD" w14:textId="77777777" w:rsidR="00BC5392" w:rsidRDefault="00BC5392" w:rsidP="00881557">
            <w:pPr>
              <w:spacing w:line="240" w:lineRule="auto"/>
              <w:rPr>
                <w:color w:val="000000"/>
              </w:rPr>
            </w:pPr>
            <w:r>
              <w:rPr>
                <w:color w:val="000000"/>
              </w:rPr>
              <w:t>Project, Proposal, and Partnership Development</w:t>
            </w:r>
          </w:p>
        </w:tc>
        <w:tc>
          <w:tcPr>
            <w:tcW w:w="960" w:type="dxa"/>
            <w:tcBorders>
              <w:top w:val="single" w:sz="8" w:space="0" w:color="808080"/>
              <w:left w:val="nil"/>
              <w:bottom w:val="single" w:sz="8" w:space="0" w:color="808080"/>
              <w:right w:val="single" w:sz="8" w:space="0" w:color="808080"/>
            </w:tcBorders>
            <w:shd w:val="clear" w:color="auto" w:fill="FFF2CC"/>
            <w:noWrap/>
            <w:tcMar>
              <w:top w:w="0" w:type="dxa"/>
              <w:left w:w="108" w:type="dxa"/>
              <w:bottom w:w="0" w:type="dxa"/>
              <w:right w:w="108" w:type="dxa"/>
            </w:tcMar>
            <w:vAlign w:val="center"/>
            <w:hideMark/>
          </w:tcPr>
          <w:p w14:paraId="69236817" w14:textId="77777777" w:rsidR="00BC5392" w:rsidRDefault="00BC5392" w:rsidP="00881557">
            <w:pPr>
              <w:spacing w:line="240" w:lineRule="auto"/>
              <w:jc w:val="right"/>
              <w:rPr>
                <w:color w:val="000000"/>
              </w:rPr>
            </w:pPr>
            <w:r>
              <w:rPr>
                <w:color w:val="000000"/>
              </w:rPr>
              <w:t>625</w:t>
            </w:r>
          </w:p>
        </w:tc>
        <w:tc>
          <w:tcPr>
            <w:tcW w:w="960" w:type="dxa"/>
            <w:tcBorders>
              <w:top w:val="single" w:sz="8" w:space="0" w:color="808080"/>
              <w:left w:val="nil"/>
              <w:bottom w:val="single" w:sz="8" w:space="0" w:color="808080"/>
              <w:right w:val="single" w:sz="8" w:space="0" w:color="808080"/>
            </w:tcBorders>
            <w:shd w:val="clear" w:color="auto" w:fill="FFF2CC"/>
            <w:noWrap/>
            <w:tcMar>
              <w:top w:w="0" w:type="dxa"/>
              <w:left w:w="108" w:type="dxa"/>
              <w:bottom w:w="0" w:type="dxa"/>
              <w:right w:w="108" w:type="dxa"/>
            </w:tcMar>
            <w:vAlign w:val="center"/>
            <w:hideMark/>
          </w:tcPr>
          <w:p w14:paraId="0E5D2F8C" w14:textId="77777777" w:rsidR="00BC5392" w:rsidRDefault="00BC5392" w:rsidP="00881557">
            <w:pPr>
              <w:spacing w:line="240" w:lineRule="auto"/>
              <w:jc w:val="right"/>
              <w:rPr>
                <w:color w:val="000000"/>
              </w:rPr>
            </w:pPr>
            <w:r>
              <w:rPr>
                <w:color w:val="000000"/>
              </w:rPr>
              <w:t>50.0%</w:t>
            </w:r>
          </w:p>
        </w:tc>
      </w:tr>
      <w:tr w:rsidR="00BC5392" w14:paraId="2A25C425" w14:textId="77777777" w:rsidTr="004C0A57">
        <w:trPr>
          <w:trHeight w:val="600"/>
          <w:jc w:val="center"/>
        </w:trPr>
        <w:tc>
          <w:tcPr>
            <w:tcW w:w="6290" w:type="dxa"/>
            <w:tcBorders>
              <w:top w:val="nil"/>
              <w:left w:val="single" w:sz="8" w:space="0" w:color="808080"/>
              <w:bottom w:val="single" w:sz="8" w:space="0" w:color="808080"/>
              <w:right w:val="single" w:sz="8" w:space="0" w:color="808080"/>
            </w:tcBorders>
            <w:shd w:val="clear" w:color="auto" w:fill="DDEBF7"/>
            <w:noWrap/>
            <w:tcMar>
              <w:top w:w="0" w:type="dxa"/>
              <w:left w:w="108" w:type="dxa"/>
              <w:bottom w:w="0" w:type="dxa"/>
              <w:right w:w="108" w:type="dxa"/>
            </w:tcMar>
            <w:vAlign w:val="center"/>
            <w:hideMark/>
          </w:tcPr>
          <w:p w14:paraId="1A854C3A" w14:textId="77777777" w:rsidR="00BC5392" w:rsidRDefault="00BC5392" w:rsidP="00881557">
            <w:pPr>
              <w:spacing w:line="240" w:lineRule="auto"/>
              <w:rPr>
                <w:color w:val="000000"/>
              </w:rPr>
            </w:pPr>
            <w:r>
              <w:rPr>
                <w:color w:val="000000"/>
              </w:rPr>
              <w:t>Ongoing Project Oversight, Evaluation, and Assessment</w:t>
            </w:r>
          </w:p>
        </w:tc>
        <w:tc>
          <w:tcPr>
            <w:tcW w:w="960" w:type="dxa"/>
            <w:tcBorders>
              <w:top w:val="nil"/>
              <w:left w:val="nil"/>
              <w:bottom w:val="single" w:sz="8" w:space="0" w:color="808080"/>
              <w:right w:val="single" w:sz="8" w:space="0" w:color="808080"/>
            </w:tcBorders>
            <w:shd w:val="clear" w:color="auto" w:fill="DDEBF7"/>
            <w:noWrap/>
            <w:tcMar>
              <w:top w:w="0" w:type="dxa"/>
              <w:left w:w="108" w:type="dxa"/>
              <w:bottom w:w="0" w:type="dxa"/>
              <w:right w:w="108" w:type="dxa"/>
            </w:tcMar>
            <w:vAlign w:val="center"/>
            <w:hideMark/>
          </w:tcPr>
          <w:p w14:paraId="06CA0A97" w14:textId="77777777" w:rsidR="00BC5392" w:rsidRDefault="00BC5392" w:rsidP="00881557">
            <w:pPr>
              <w:spacing w:line="240" w:lineRule="auto"/>
              <w:jc w:val="right"/>
              <w:rPr>
                <w:color w:val="000000"/>
              </w:rPr>
            </w:pPr>
            <w:r>
              <w:rPr>
                <w:color w:val="000000"/>
              </w:rPr>
              <w:t>187.5</w:t>
            </w:r>
          </w:p>
        </w:tc>
        <w:tc>
          <w:tcPr>
            <w:tcW w:w="960" w:type="dxa"/>
            <w:tcBorders>
              <w:top w:val="nil"/>
              <w:left w:val="nil"/>
              <w:bottom w:val="single" w:sz="8" w:space="0" w:color="808080"/>
              <w:right w:val="single" w:sz="8" w:space="0" w:color="808080"/>
            </w:tcBorders>
            <w:shd w:val="clear" w:color="auto" w:fill="DDEBF7"/>
            <w:noWrap/>
            <w:tcMar>
              <w:top w:w="0" w:type="dxa"/>
              <w:left w:w="108" w:type="dxa"/>
              <w:bottom w:w="0" w:type="dxa"/>
              <w:right w:w="108" w:type="dxa"/>
            </w:tcMar>
            <w:vAlign w:val="center"/>
            <w:hideMark/>
          </w:tcPr>
          <w:p w14:paraId="1004FB34" w14:textId="77777777" w:rsidR="00BC5392" w:rsidRDefault="00BC5392" w:rsidP="00881557">
            <w:pPr>
              <w:spacing w:line="240" w:lineRule="auto"/>
              <w:jc w:val="right"/>
              <w:rPr>
                <w:color w:val="000000"/>
              </w:rPr>
            </w:pPr>
            <w:r>
              <w:rPr>
                <w:color w:val="000000"/>
              </w:rPr>
              <w:t>15.0%</w:t>
            </w:r>
          </w:p>
        </w:tc>
      </w:tr>
      <w:tr w:rsidR="00BC5392" w14:paraId="3B976A9E" w14:textId="77777777" w:rsidTr="004C0A57">
        <w:trPr>
          <w:trHeight w:val="600"/>
          <w:jc w:val="center"/>
        </w:trPr>
        <w:tc>
          <w:tcPr>
            <w:tcW w:w="6290" w:type="dxa"/>
            <w:tcBorders>
              <w:top w:val="nil"/>
              <w:left w:val="single" w:sz="8" w:space="0" w:color="808080"/>
              <w:bottom w:val="single" w:sz="8" w:space="0" w:color="808080"/>
              <w:right w:val="single" w:sz="8" w:space="0" w:color="808080"/>
            </w:tcBorders>
            <w:shd w:val="clear" w:color="auto" w:fill="F2F2F2"/>
            <w:noWrap/>
            <w:tcMar>
              <w:top w:w="0" w:type="dxa"/>
              <w:left w:w="108" w:type="dxa"/>
              <w:bottom w:w="0" w:type="dxa"/>
              <w:right w:w="108" w:type="dxa"/>
            </w:tcMar>
            <w:vAlign w:val="center"/>
            <w:hideMark/>
          </w:tcPr>
          <w:p w14:paraId="05E29982" w14:textId="77777777" w:rsidR="00BC5392" w:rsidRDefault="00BC5392" w:rsidP="00881557">
            <w:pPr>
              <w:spacing w:line="240" w:lineRule="auto"/>
              <w:rPr>
                <w:color w:val="000000"/>
              </w:rPr>
            </w:pPr>
            <w:r>
              <w:rPr>
                <w:color w:val="000000"/>
              </w:rPr>
              <w:lastRenderedPageBreak/>
              <w:t>Supporting NFWF and Partner Training, Education, and Networking</w:t>
            </w:r>
          </w:p>
        </w:tc>
        <w:tc>
          <w:tcPr>
            <w:tcW w:w="960" w:type="dxa"/>
            <w:tcBorders>
              <w:top w:val="nil"/>
              <w:left w:val="nil"/>
              <w:bottom w:val="single" w:sz="8" w:space="0" w:color="808080"/>
              <w:right w:val="single" w:sz="8" w:space="0" w:color="808080"/>
            </w:tcBorders>
            <w:shd w:val="clear" w:color="auto" w:fill="F2F2F2"/>
            <w:noWrap/>
            <w:tcMar>
              <w:top w:w="0" w:type="dxa"/>
              <w:left w:w="108" w:type="dxa"/>
              <w:bottom w:w="0" w:type="dxa"/>
              <w:right w:w="108" w:type="dxa"/>
            </w:tcMar>
            <w:vAlign w:val="center"/>
            <w:hideMark/>
          </w:tcPr>
          <w:p w14:paraId="6127D070" w14:textId="77777777" w:rsidR="00BC5392" w:rsidRDefault="00BC5392" w:rsidP="00881557">
            <w:pPr>
              <w:spacing w:line="240" w:lineRule="auto"/>
              <w:jc w:val="right"/>
              <w:rPr>
                <w:color w:val="000000"/>
              </w:rPr>
            </w:pPr>
            <w:r>
              <w:rPr>
                <w:color w:val="000000"/>
              </w:rPr>
              <w:t>187.5</w:t>
            </w:r>
          </w:p>
        </w:tc>
        <w:tc>
          <w:tcPr>
            <w:tcW w:w="960" w:type="dxa"/>
            <w:tcBorders>
              <w:top w:val="nil"/>
              <w:left w:val="nil"/>
              <w:bottom w:val="single" w:sz="8" w:space="0" w:color="808080"/>
              <w:right w:val="single" w:sz="8" w:space="0" w:color="808080"/>
            </w:tcBorders>
            <w:shd w:val="clear" w:color="auto" w:fill="F2F2F2"/>
            <w:noWrap/>
            <w:tcMar>
              <w:top w:w="0" w:type="dxa"/>
              <w:left w:w="108" w:type="dxa"/>
              <w:bottom w:w="0" w:type="dxa"/>
              <w:right w:w="108" w:type="dxa"/>
            </w:tcMar>
            <w:vAlign w:val="center"/>
            <w:hideMark/>
          </w:tcPr>
          <w:p w14:paraId="4F744C14" w14:textId="77777777" w:rsidR="00BC5392" w:rsidRDefault="00BC5392" w:rsidP="00881557">
            <w:pPr>
              <w:spacing w:line="240" w:lineRule="auto"/>
              <w:jc w:val="right"/>
              <w:rPr>
                <w:color w:val="000000"/>
              </w:rPr>
            </w:pPr>
            <w:r>
              <w:rPr>
                <w:color w:val="000000"/>
              </w:rPr>
              <w:t>15.0%</w:t>
            </w:r>
          </w:p>
        </w:tc>
      </w:tr>
      <w:tr w:rsidR="00BC5392" w14:paraId="5002FF15" w14:textId="77777777" w:rsidTr="004C0A57">
        <w:trPr>
          <w:trHeight w:val="600"/>
          <w:jc w:val="center"/>
        </w:trPr>
        <w:tc>
          <w:tcPr>
            <w:tcW w:w="6290" w:type="dxa"/>
            <w:tcBorders>
              <w:top w:val="nil"/>
              <w:left w:val="single" w:sz="8" w:space="0" w:color="808080"/>
              <w:bottom w:val="single" w:sz="8" w:space="0" w:color="808080"/>
              <w:right w:val="single" w:sz="8" w:space="0" w:color="808080"/>
            </w:tcBorders>
            <w:shd w:val="clear" w:color="auto" w:fill="FCE4D6"/>
            <w:noWrap/>
            <w:tcMar>
              <w:top w:w="0" w:type="dxa"/>
              <w:left w:w="108" w:type="dxa"/>
              <w:bottom w:w="0" w:type="dxa"/>
              <w:right w:w="108" w:type="dxa"/>
            </w:tcMar>
            <w:vAlign w:val="center"/>
            <w:hideMark/>
          </w:tcPr>
          <w:p w14:paraId="3AE1F096" w14:textId="77777777" w:rsidR="00BC5392" w:rsidRDefault="00BC5392" w:rsidP="00881557">
            <w:pPr>
              <w:spacing w:line="240" w:lineRule="auto"/>
              <w:rPr>
                <w:color w:val="000000"/>
              </w:rPr>
            </w:pPr>
            <w:r>
              <w:rPr>
                <w:color w:val="000000"/>
              </w:rPr>
              <w:t>"Ear to the ground" with EPA, CBP, and jurisdictions</w:t>
            </w:r>
          </w:p>
        </w:tc>
        <w:tc>
          <w:tcPr>
            <w:tcW w:w="960" w:type="dxa"/>
            <w:tcBorders>
              <w:top w:val="nil"/>
              <w:left w:val="nil"/>
              <w:bottom w:val="single" w:sz="8" w:space="0" w:color="808080"/>
              <w:right w:val="single" w:sz="8" w:space="0" w:color="808080"/>
            </w:tcBorders>
            <w:shd w:val="clear" w:color="auto" w:fill="FCE4D6"/>
            <w:noWrap/>
            <w:tcMar>
              <w:top w:w="0" w:type="dxa"/>
              <w:left w:w="108" w:type="dxa"/>
              <w:bottom w:w="0" w:type="dxa"/>
              <w:right w:w="108" w:type="dxa"/>
            </w:tcMar>
            <w:vAlign w:val="center"/>
            <w:hideMark/>
          </w:tcPr>
          <w:p w14:paraId="08D78562" w14:textId="77777777" w:rsidR="00BC5392" w:rsidRDefault="00BC5392" w:rsidP="00881557">
            <w:pPr>
              <w:spacing w:line="240" w:lineRule="auto"/>
              <w:jc w:val="right"/>
              <w:rPr>
                <w:color w:val="000000"/>
              </w:rPr>
            </w:pPr>
            <w:r>
              <w:rPr>
                <w:color w:val="000000"/>
              </w:rPr>
              <w:t>125</w:t>
            </w:r>
          </w:p>
        </w:tc>
        <w:tc>
          <w:tcPr>
            <w:tcW w:w="960" w:type="dxa"/>
            <w:tcBorders>
              <w:top w:val="nil"/>
              <w:left w:val="nil"/>
              <w:bottom w:val="single" w:sz="8" w:space="0" w:color="808080"/>
              <w:right w:val="single" w:sz="8" w:space="0" w:color="808080"/>
            </w:tcBorders>
            <w:shd w:val="clear" w:color="auto" w:fill="FCE4D6"/>
            <w:noWrap/>
            <w:tcMar>
              <w:top w:w="0" w:type="dxa"/>
              <w:left w:w="108" w:type="dxa"/>
              <w:bottom w:w="0" w:type="dxa"/>
              <w:right w:w="108" w:type="dxa"/>
            </w:tcMar>
            <w:vAlign w:val="center"/>
            <w:hideMark/>
          </w:tcPr>
          <w:p w14:paraId="4F24C0BD" w14:textId="77777777" w:rsidR="00BC5392" w:rsidRDefault="00BC5392" w:rsidP="00881557">
            <w:pPr>
              <w:spacing w:line="240" w:lineRule="auto"/>
              <w:jc w:val="right"/>
              <w:rPr>
                <w:color w:val="000000"/>
              </w:rPr>
            </w:pPr>
            <w:r>
              <w:rPr>
                <w:color w:val="000000"/>
              </w:rPr>
              <w:t>10.0%</w:t>
            </w:r>
          </w:p>
        </w:tc>
      </w:tr>
      <w:tr w:rsidR="00BC5392" w14:paraId="5BAF86B5" w14:textId="77777777" w:rsidTr="004C0A57">
        <w:trPr>
          <w:trHeight w:val="600"/>
          <w:jc w:val="center"/>
        </w:trPr>
        <w:tc>
          <w:tcPr>
            <w:tcW w:w="6290" w:type="dxa"/>
            <w:tcBorders>
              <w:top w:val="nil"/>
              <w:left w:val="single" w:sz="8" w:space="0" w:color="808080"/>
              <w:bottom w:val="single" w:sz="8" w:space="0" w:color="808080"/>
              <w:right w:val="single" w:sz="8" w:space="0" w:color="808080"/>
            </w:tcBorders>
            <w:shd w:val="clear" w:color="auto" w:fill="E2EFDA"/>
            <w:noWrap/>
            <w:tcMar>
              <w:top w:w="0" w:type="dxa"/>
              <w:left w:w="108" w:type="dxa"/>
              <w:bottom w:w="0" w:type="dxa"/>
              <w:right w:w="108" w:type="dxa"/>
            </w:tcMar>
            <w:vAlign w:val="center"/>
            <w:hideMark/>
          </w:tcPr>
          <w:p w14:paraId="1E009C1A" w14:textId="77777777" w:rsidR="00BC5392" w:rsidRDefault="00BC5392" w:rsidP="00881557">
            <w:pPr>
              <w:spacing w:line="240" w:lineRule="auto"/>
              <w:rPr>
                <w:color w:val="000000"/>
              </w:rPr>
            </w:pPr>
            <w:r>
              <w:rPr>
                <w:color w:val="000000"/>
              </w:rPr>
              <w:t>NFWF-Field Liaison Coordination</w:t>
            </w:r>
          </w:p>
        </w:tc>
        <w:tc>
          <w:tcPr>
            <w:tcW w:w="960" w:type="dxa"/>
            <w:tcBorders>
              <w:top w:val="nil"/>
              <w:left w:val="nil"/>
              <w:bottom w:val="single" w:sz="8" w:space="0" w:color="808080"/>
              <w:right w:val="single" w:sz="8" w:space="0" w:color="808080"/>
            </w:tcBorders>
            <w:shd w:val="clear" w:color="auto" w:fill="E2EFDA"/>
            <w:noWrap/>
            <w:tcMar>
              <w:top w:w="0" w:type="dxa"/>
              <w:left w:w="108" w:type="dxa"/>
              <w:bottom w:w="0" w:type="dxa"/>
              <w:right w:w="108" w:type="dxa"/>
            </w:tcMar>
            <w:vAlign w:val="center"/>
            <w:hideMark/>
          </w:tcPr>
          <w:p w14:paraId="18715243" w14:textId="77777777" w:rsidR="00BC5392" w:rsidRDefault="00BC5392" w:rsidP="00881557">
            <w:pPr>
              <w:spacing w:line="240" w:lineRule="auto"/>
              <w:jc w:val="right"/>
              <w:rPr>
                <w:color w:val="000000"/>
              </w:rPr>
            </w:pPr>
            <w:r>
              <w:rPr>
                <w:color w:val="000000"/>
              </w:rPr>
              <w:t>125</w:t>
            </w:r>
          </w:p>
        </w:tc>
        <w:tc>
          <w:tcPr>
            <w:tcW w:w="960" w:type="dxa"/>
            <w:tcBorders>
              <w:top w:val="nil"/>
              <w:left w:val="nil"/>
              <w:bottom w:val="single" w:sz="8" w:space="0" w:color="808080"/>
              <w:right w:val="single" w:sz="8" w:space="0" w:color="808080"/>
            </w:tcBorders>
            <w:shd w:val="clear" w:color="auto" w:fill="E2EFDA"/>
            <w:noWrap/>
            <w:tcMar>
              <w:top w:w="0" w:type="dxa"/>
              <w:left w:w="108" w:type="dxa"/>
              <w:bottom w:w="0" w:type="dxa"/>
              <w:right w:w="108" w:type="dxa"/>
            </w:tcMar>
            <w:vAlign w:val="center"/>
            <w:hideMark/>
          </w:tcPr>
          <w:p w14:paraId="4E6D8C63" w14:textId="77777777" w:rsidR="00BC5392" w:rsidRDefault="00BC5392" w:rsidP="00881557">
            <w:pPr>
              <w:spacing w:line="240" w:lineRule="auto"/>
              <w:jc w:val="right"/>
              <w:rPr>
                <w:color w:val="000000"/>
              </w:rPr>
            </w:pPr>
            <w:r>
              <w:rPr>
                <w:color w:val="000000"/>
              </w:rPr>
              <w:t>10.0%</w:t>
            </w:r>
          </w:p>
        </w:tc>
      </w:tr>
      <w:tr w:rsidR="00BC5392" w14:paraId="09EEFEBC" w14:textId="77777777" w:rsidTr="004C0A57">
        <w:trPr>
          <w:trHeight w:val="288"/>
          <w:jc w:val="center"/>
        </w:trPr>
        <w:tc>
          <w:tcPr>
            <w:tcW w:w="6290" w:type="dxa"/>
            <w:noWrap/>
            <w:tcMar>
              <w:top w:w="0" w:type="dxa"/>
              <w:left w:w="108" w:type="dxa"/>
              <w:bottom w:w="0" w:type="dxa"/>
              <w:right w:w="108" w:type="dxa"/>
            </w:tcMar>
            <w:vAlign w:val="center"/>
            <w:hideMark/>
          </w:tcPr>
          <w:p w14:paraId="77CFB84D" w14:textId="77777777" w:rsidR="00BC5392" w:rsidRDefault="00BC5392" w:rsidP="00881557">
            <w:pPr>
              <w:spacing w:line="240" w:lineRule="auto"/>
              <w:rPr>
                <w:color w:val="000000"/>
              </w:rPr>
            </w:pPr>
          </w:p>
        </w:tc>
        <w:tc>
          <w:tcPr>
            <w:tcW w:w="960" w:type="dxa"/>
            <w:noWrap/>
            <w:tcMar>
              <w:top w:w="0" w:type="dxa"/>
              <w:left w:w="108" w:type="dxa"/>
              <w:bottom w:w="0" w:type="dxa"/>
              <w:right w:w="108" w:type="dxa"/>
            </w:tcMar>
            <w:vAlign w:val="center"/>
            <w:hideMark/>
          </w:tcPr>
          <w:p w14:paraId="76DE470C" w14:textId="77777777" w:rsidR="00BC5392" w:rsidRDefault="00BC5392" w:rsidP="00881557">
            <w:pPr>
              <w:spacing w:line="240" w:lineRule="auto"/>
              <w:rPr>
                <w:rFonts w:ascii="Times New Roman" w:eastAsia="Times New Roman" w:hAnsi="Times New Roman"/>
                <w:sz w:val="20"/>
                <w:szCs w:val="20"/>
              </w:rPr>
            </w:pPr>
          </w:p>
        </w:tc>
        <w:tc>
          <w:tcPr>
            <w:tcW w:w="960" w:type="dxa"/>
            <w:noWrap/>
            <w:tcMar>
              <w:top w:w="0" w:type="dxa"/>
              <w:left w:w="108" w:type="dxa"/>
              <w:bottom w:w="0" w:type="dxa"/>
              <w:right w:w="108" w:type="dxa"/>
            </w:tcMar>
            <w:vAlign w:val="center"/>
            <w:hideMark/>
          </w:tcPr>
          <w:p w14:paraId="485898E9" w14:textId="77777777" w:rsidR="00BC5392" w:rsidRDefault="00BC5392" w:rsidP="00881557">
            <w:pPr>
              <w:spacing w:line="240" w:lineRule="auto"/>
              <w:rPr>
                <w:rFonts w:ascii="Times New Roman" w:eastAsia="Times New Roman" w:hAnsi="Times New Roman"/>
                <w:sz w:val="20"/>
                <w:szCs w:val="20"/>
              </w:rPr>
            </w:pPr>
          </w:p>
        </w:tc>
      </w:tr>
      <w:tr w:rsidR="00BC5392" w14:paraId="185F9101" w14:textId="77777777" w:rsidTr="004C0A57">
        <w:trPr>
          <w:trHeight w:val="288"/>
          <w:jc w:val="center"/>
        </w:trPr>
        <w:tc>
          <w:tcPr>
            <w:tcW w:w="6290" w:type="dxa"/>
            <w:noWrap/>
            <w:tcMar>
              <w:top w:w="0" w:type="dxa"/>
              <w:left w:w="108" w:type="dxa"/>
              <w:bottom w:w="0" w:type="dxa"/>
              <w:right w:w="108" w:type="dxa"/>
            </w:tcMar>
            <w:vAlign w:val="center"/>
            <w:hideMark/>
          </w:tcPr>
          <w:p w14:paraId="30AF2ED7" w14:textId="77777777" w:rsidR="00BC5392" w:rsidRDefault="00BC5392" w:rsidP="00881557">
            <w:pPr>
              <w:spacing w:line="240" w:lineRule="auto"/>
              <w:jc w:val="right"/>
              <w:rPr>
                <w:rFonts w:eastAsiaTheme="minorHAnsi" w:cs="Calibri"/>
                <w:color w:val="000000"/>
              </w:rPr>
            </w:pPr>
            <w:r>
              <w:rPr>
                <w:color w:val="000000"/>
              </w:rPr>
              <w:t>TOTAL HRS</w:t>
            </w:r>
          </w:p>
        </w:tc>
        <w:tc>
          <w:tcPr>
            <w:tcW w:w="960" w:type="dxa"/>
            <w:noWrap/>
            <w:tcMar>
              <w:top w:w="0" w:type="dxa"/>
              <w:left w:w="108" w:type="dxa"/>
              <w:bottom w:w="0" w:type="dxa"/>
              <w:right w:w="108" w:type="dxa"/>
            </w:tcMar>
            <w:vAlign w:val="center"/>
            <w:hideMark/>
          </w:tcPr>
          <w:p w14:paraId="4BA4BEF4" w14:textId="77777777" w:rsidR="00BC5392" w:rsidRDefault="00BC5392" w:rsidP="00881557">
            <w:pPr>
              <w:spacing w:line="240" w:lineRule="auto"/>
              <w:jc w:val="right"/>
              <w:rPr>
                <w:color w:val="000000"/>
              </w:rPr>
            </w:pPr>
            <w:r>
              <w:rPr>
                <w:color w:val="000000"/>
              </w:rPr>
              <w:t>1250</w:t>
            </w:r>
          </w:p>
        </w:tc>
        <w:tc>
          <w:tcPr>
            <w:tcW w:w="960" w:type="dxa"/>
            <w:noWrap/>
            <w:tcMar>
              <w:top w:w="0" w:type="dxa"/>
              <w:left w:w="108" w:type="dxa"/>
              <w:bottom w:w="0" w:type="dxa"/>
              <w:right w:w="108" w:type="dxa"/>
            </w:tcMar>
            <w:vAlign w:val="center"/>
            <w:hideMark/>
          </w:tcPr>
          <w:p w14:paraId="0A3E701C" w14:textId="77777777" w:rsidR="00BC5392" w:rsidRDefault="00BC5392" w:rsidP="00881557">
            <w:pPr>
              <w:spacing w:line="240" w:lineRule="auto"/>
              <w:jc w:val="right"/>
              <w:rPr>
                <w:color w:val="000000"/>
              </w:rPr>
            </w:pPr>
            <w:r>
              <w:rPr>
                <w:color w:val="000000"/>
              </w:rPr>
              <w:t>100.0%</w:t>
            </w:r>
          </w:p>
        </w:tc>
      </w:tr>
    </w:tbl>
    <w:p w14:paraId="0CA61D4A" w14:textId="1A159270" w:rsidR="00FF78C9" w:rsidRPr="00FF78C9" w:rsidRDefault="00FF78C9" w:rsidP="00881557">
      <w:pPr>
        <w:spacing w:after="0" w:line="240" w:lineRule="auto"/>
        <w:ind w:firstLine="720"/>
        <w:rPr>
          <w:rFonts w:asciiTheme="minorHAnsi" w:hAnsiTheme="minorHAnsi"/>
          <w:bCs/>
        </w:rPr>
      </w:pPr>
      <w:r w:rsidRPr="00FF78C9">
        <w:rPr>
          <w:rFonts w:asciiTheme="minorHAnsi" w:hAnsiTheme="minorHAnsi"/>
          <w:bCs/>
        </w:rPr>
        <w:t>*Estimated capacity needs, subject to change prior to contracting</w:t>
      </w:r>
    </w:p>
    <w:p w14:paraId="2E90ED9B" w14:textId="77777777" w:rsidR="00FF78C9" w:rsidRPr="00C0687D" w:rsidRDefault="00FF78C9" w:rsidP="00881557">
      <w:pPr>
        <w:spacing w:after="0" w:line="240" w:lineRule="auto"/>
        <w:rPr>
          <w:rFonts w:asciiTheme="minorHAnsi" w:hAnsiTheme="minorHAnsi"/>
          <w:b/>
          <w:sz w:val="16"/>
          <w:szCs w:val="16"/>
        </w:rPr>
      </w:pPr>
    </w:p>
    <w:p w14:paraId="05504F1C" w14:textId="2FCA3B6B" w:rsidR="0089300B" w:rsidRPr="00887B17" w:rsidRDefault="0089300B" w:rsidP="00881557">
      <w:pPr>
        <w:spacing w:after="0" w:line="240" w:lineRule="auto"/>
        <w:rPr>
          <w:rFonts w:asciiTheme="minorHAnsi" w:hAnsiTheme="minorHAnsi"/>
          <w:b/>
          <w:u w:val="single"/>
        </w:rPr>
      </w:pPr>
      <w:r w:rsidRPr="00887B17">
        <w:rPr>
          <w:rFonts w:asciiTheme="minorHAnsi" w:hAnsiTheme="minorHAnsi"/>
          <w:b/>
          <w:u w:val="single"/>
        </w:rPr>
        <w:t>ANTICIPATED DELIVERABLES</w:t>
      </w:r>
    </w:p>
    <w:p w14:paraId="74F79520" w14:textId="77777777" w:rsidR="00354BF7" w:rsidRPr="00784B08" w:rsidRDefault="00BA2396" w:rsidP="00881557">
      <w:pPr>
        <w:spacing w:after="0" w:line="240" w:lineRule="auto"/>
        <w:rPr>
          <w:rFonts w:cs="Arial"/>
        </w:rPr>
      </w:pPr>
      <w:r w:rsidRPr="00784B08">
        <w:rPr>
          <w:rFonts w:cs="Arial"/>
        </w:rPr>
        <w:t>The contract deliverables will include</w:t>
      </w:r>
      <w:r w:rsidR="009D6761" w:rsidRPr="00784B08">
        <w:rPr>
          <w:rFonts w:cs="Arial"/>
        </w:rPr>
        <w:t>:</w:t>
      </w:r>
      <w:r w:rsidRPr="00784B08">
        <w:rPr>
          <w:rFonts w:cs="Arial"/>
        </w:rPr>
        <w:t xml:space="preserve"> </w:t>
      </w:r>
    </w:p>
    <w:p w14:paraId="5920D00E" w14:textId="77777777" w:rsidR="00354BF7" w:rsidRPr="00784B08" w:rsidRDefault="00354BF7" w:rsidP="00881557">
      <w:pPr>
        <w:spacing w:after="0" w:line="240" w:lineRule="auto"/>
        <w:rPr>
          <w:rFonts w:cs="Arial"/>
        </w:rPr>
      </w:pPr>
    </w:p>
    <w:p w14:paraId="2DBACF9A" w14:textId="5392608F" w:rsidR="00A347B0" w:rsidRPr="00A347B0" w:rsidRDefault="00535055" w:rsidP="00881557">
      <w:pPr>
        <w:pStyle w:val="ListParagraph"/>
        <w:numPr>
          <w:ilvl w:val="0"/>
          <w:numId w:val="3"/>
        </w:numPr>
        <w:spacing w:after="0" w:line="240" w:lineRule="auto"/>
        <w:ind w:left="720"/>
        <w:rPr>
          <w:rFonts w:cs="Arial"/>
        </w:rPr>
      </w:pPr>
      <w:r>
        <w:rPr>
          <w:rFonts w:cs="Arial"/>
        </w:rPr>
        <w:t>Quarterly</w:t>
      </w:r>
      <w:r w:rsidRPr="00784B08">
        <w:rPr>
          <w:rFonts w:cs="Arial"/>
        </w:rPr>
        <w:t xml:space="preserve"> </w:t>
      </w:r>
      <w:r w:rsidR="00354BF7" w:rsidRPr="00784B08">
        <w:rPr>
          <w:rFonts w:cs="Arial"/>
        </w:rPr>
        <w:t>written</w:t>
      </w:r>
      <w:r w:rsidR="004D7679" w:rsidRPr="00784B08">
        <w:rPr>
          <w:rFonts w:cs="Arial"/>
        </w:rPr>
        <w:t xml:space="preserve"> and </w:t>
      </w:r>
      <w:r w:rsidR="00DC27B3" w:rsidRPr="00784B08">
        <w:rPr>
          <w:rFonts w:cs="Arial"/>
        </w:rPr>
        <w:t xml:space="preserve">ongoing </w:t>
      </w:r>
      <w:r w:rsidR="004D7679" w:rsidRPr="00784B08">
        <w:rPr>
          <w:rFonts w:cs="Arial"/>
        </w:rPr>
        <w:t>verbal</w:t>
      </w:r>
      <w:r w:rsidR="00354BF7" w:rsidRPr="00784B08">
        <w:rPr>
          <w:rFonts w:cs="Arial"/>
        </w:rPr>
        <w:t xml:space="preserve"> progress reports</w:t>
      </w:r>
    </w:p>
    <w:p w14:paraId="1A083649" w14:textId="550A3B91" w:rsidR="00354BF7" w:rsidRDefault="00354BF7" w:rsidP="00881557">
      <w:pPr>
        <w:pStyle w:val="ListParagraph"/>
        <w:numPr>
          <w:ilvl w:val="0"/>
          <w:numId w:val="3"/>
        </w:numPr>
        <w:spacing w:after="0" w:line="240" w:lineRule="auto"/>
        <w:ind w:left="720"/>
        <w:rPr>
          <w:rFonts w:cs="Arial"/>
        </w:rPr>
      </w:pPr>
      <w:r w:rsidRPr="00784B08">
        <w:rPr>
          <w:rFonts w:cs="Arial"/>
        </w:rPr>
        <w:t>Final report</w:t>
      </w:r>
      <w:r w:rsidR="009D6761" w:rsidRPr="00784B08">
        <w:rPr>
          <w:rFonts w:cs="Arial"/>
        </w:rPr>
        <w:t xml:space="preserve"> </w:t>
      </w:r>
      <w:r w:rsidR="00DC27B3" w:rsidRPr="00784B08">
        <w:rPr>
          <w:rFonts w:cs="Arial"/>
        </w:rPr>
        <w:t xml:space="preserve">summarizing lessons learned at contract </w:t>
      </w:r>
      <w:proofErr w:type="gramStart"/>
      <w:r w:rsidR="00DC27B3" w:rsidRPr="00784B08">
        <w:rPr>
          <w:rFonts w:cs="Arial"/>
        </w:rPr>
        <w:t>completion</w:t>
      </w:r>
      <w:proofErr w:type="gramEnd"/>
    </w:p>
    <w:p w14:paraId="24B56BDE" w14:textId="77777777" w:rsidR="00B570C2" w:rsidRDefault="005347B0" w:rsidP="00881557">
      <w:pPr>
        <w:pStyle w:val="ListParagraph"/>
        <w:numPr>
          <w:ilvl w:val="0"/>
          <w:numId w:val="3"/>
        </w:numPr>
        <w:spacing w:after="0" w:line="240" w:lineRule="auto"/>
        <w:ind w:left="720"/>
        <w:rPr>
          <w:rFonts w:cs="Arial"/>
        </w:rPr>
      </w:pPr>
      <w:r>
        <w:rPr>
          <w:rFonts w:cs="Arial"/>
        </w:rPr>
        <w:t>Comprehensive written reviews of</w:t>
      </w:r>
      <w:r w:rsidR="004479C3">
        <w:rPr>
          <w:rFonts w:cs="Arial"/>
        </w:rPr>
        <w:t xml:space="preserve"> grant proposal</w:t>
      </w:r>
      <w:r>
        <w:rPr>
          <w:rFonts w:cs="Arial"/>
        </w:rPr>
        <w:t>s</w:t>
      </w:r>
    </w:p>
    <w:p w14:paraId="4244E92B" w14:textId="50296621" w:rsidR="00354BF7" w:rsidRDefault="00B570C2" w:rsidP="00881557">
      <w:pPr>
        <w:pStyle w:val="ListParagraph"/>
        <w:numPr>
          <w:ilvl w:val="0"/>
          <w:numId w:val="3"/>
        </w:numPr>
        <w:spacing w:after="0" w:line="240" w:lineRule="auto"/>
        <w:ind w:left="720"/>
        <w:rPr>
          <w:rFonts w:cs="Arial"/>
        </w:rPr>
      </w:pPr>
      <w:r w:rsidRPr="00B570C2">
        <w:rPr>
          <w:rFonts w:cs="Arial"/>
        </w:rPr>
        <w:t xml:space="preserve">Other deliverables as called for by the proposed Scope </w:t>
      </w:r>
      <w:r w:rsidR="000D20C9" w:rsidRPr="00B570C2">
        <w:rPr>
          <w:rFonts w:cs="Arial"/>
        </w:rPr>
        <w:t>o</w:t>
      </w:r>
      <w:r w:rsidR="000D20C9">
        <w:rPr>
          <w:rFonts w:cs="Arial"/>
        </w:rPr>
        <w:t>f</w:t>
      </w:r>
      <w:r w:rsidR="000D20C9" w:rsidRPr="00B570C2">
        <w:rPr>
          <w:rFonts w:cs="Arial"/>
        </w:rPr>
        <w:t xml:space="preserve"> </w:t>
      </w:r>
      <w:r w:rsidRPr="00B570C2">
        <w:rPr>
          <w:rFonts w:cs="Arial"/>
        </w:rPr>
        <w:t xml:space="preserve">Work and contractor’s proposed technical </w:t>
      </w:r>
      <w:proofErr w:type="gramStart"/>
      <w:r w:rsidRPr="00B570C2">
        <w:rPr>
          <w:rFonts w:cs="Arial"/>
        </w:rPr>
        <w:t>approach</w:t>
      </w:r>
      <w:proofErr w:type="gramEnd"/>
    </w:p>
    <w:p w14:paraId="5F3FEAAF" w14:textId="77777777" w:rsidR="00C0687D" w:rsidRPr="00C0687D" w:rsidRDefault="00C0687D" w:rsidP="00881557">
      <w:pPr>
        <w:spacing w:after="0" w:line="240" w:lineRule="auto"/>
        <w:rPr>
          <w:rFonts w:cs="Arial"/>
          <w:sz w:val="16"/>
          <w:szCs w:val="16"/>
        </w:rPr>
      </w:pPr>
    </w:p>
    <w:p w14:paraId="68B1E0F3" w14:textId="049C071E" w:rsidR="00BB2BF9" w:rsidRDefault="009D6761" w:rsidP="00881557">
      <w:pPr>
        <w:spacing w:after="0" w:line="240" w:lineRule="auto"/>
        <w:rPr>
          <w:rFonts w:cs="Arial"/>
        </w:rPr>
      </w:pPr>
      <w:r w:rsidRPr="00784B08">
        <w:rPr>
          <w:rFonts w:cs="Arial"/>
        </w:rPr>
        <w:t>These deliverables may be expanded or refined during the contract negotiation.</w:t>
      </w:r>
    </w:p>
    <w:p w14:paraId="4E875EC1" w14:textId="77777777" w:rsidR="00521222" w:rsidRPr="00C0687D" w:rsidRDefault="00521222" w:rsidP="00881557">
      <w:pPr>
        <w:spacing w:after="0" w:line="240" w:lineRule="auto"/>
        <w:rPr>
          <w:rFonts w:cs="Arial"/>
          <w:sz w:val="16"/>
          <w:szCs w:val="16"/>
        </w:rPr>
      </w:pPr>
    </w:p>
    <w:p w14:paraId="602F54AF" w14:textId="4D1A985D" w:rsidR="00521222" w:rsidRPr="00887B17" w:rsidRDefault="00521222" w:rsidP="00881557">
      <w:pPr>
        <w:spacing w:after="0" w:line="240" w:lineRule="auto"/>
        <w:rPr>
          <w:rFonts w:cs="Arial"/>
          <w:b/>
          <w:u w:val="single"/>
        </w:rPr>
      </w:pPr>
      <w:r w:rsidRPr="00887B17">
        <w:rPr>
          <w:rFonts w:cs="Arial"/>
          <w:b/>
          <w:u w:val="single"/>
        </w:rPr>
        <w:t>S</w:t>
      </w:r>
      <w:r w:rsidR="00FF3F2D" w:rsidRPr="00887B17">
        <w:rPr>
          <w:rFonts w:cs="Arial"/>
          <w:b/>
          <w:u w:val="single"/>
        </w:rPr>
        <w:t>UBM</w:t>
      </w:r>
      <w:r w:rsidRPr="00887B17">
        <w:rPr>
          <w:rFonts w:cs="Arial"/>
          <w:b/>
          <w:u w:val="single"/>
        </w:rPr>
        <w:t>ISSION REQUIREMENTS</w:t>
      </w:r>
    </w:p>
    <w:p w14:paraId="3A4B02A8" w14:textId="165F0F16" w:rsidR="00521222" w:rsidRPr="00784B08" w:rsidRDefault="00521222" w:rsidP="00881557">
      <w:pPr>
        <w:spacing w:after="0" w:line="240" w:lineRule="auto"/>
        <w:rPr>
          <w:rFonts w:cs="Arial"/>
        </w:rPr>
      </w:pPr>
      <w:r w:rsidRPr="00521222">
        <w:rPr>
          <w:rFonts w:cs="Arial"/>
        </w:rPr>
        <w:t xml:space="preserve">Proposals must be submitted under the same cover at the same time, in </w:t>
      </w:r>
      <w:r w:rsidR="0070065D">
        <w:rPr>
          <w:rFonts w:cs="Arial"/>
        </w:rPr>
        <w:t>six</w:t>
      </w:r>
      <w:r w:rsidRPr="00521222">
        <w:rPr>
          <w:rFonts w:cs="Arial"/>
        </w:rPr>
        <w:t xml:space="preserve"> distinct and separate documents: 1) </w:t>
      </w:r>
      <w:r w:rsidR="0070065D" w:rsidRPr="0070065D">
        <w:rPr>
          <w:rFonts w:cs="Arial"/>
        </w:rPr>
        <w:t>Understanding of the Scope of Work</w:t>
      </w:r>
      <w:r w:rsidR="0070065D">
        <w:rPr>
          <w:rFonts w:cs="Arial"/>
        </w:rPr>
        <w:t>,</w:t>
      </w:r>
      <w:r w:rsidR="0070065D" w:rsidRPr="0070065D">
        <w:rPr>
          <w:rFonts w:cs="Arial"/>
        </w:rPr>
        <w:t xml:space="preserve"> </w:t>
      </w:r>
      <w:r w:rsidR="0070065D">
        <w:rPr>
          <w:rFonts w:cs="Arial"/>
        </w:rPr>
        <w:t xml:space="preserve">2) </w:t>
      </w:r>
      <w:r w:rsidRPr="00521222">
        <w:rPr>
          <w:rFonts w:cs="Arial"/>
        </w:rPr>
        <w:t xml:space="preserve">Technical </w:t>
      </w:r>
      <w:r w:rsidR="0070065D">
        <w:rPr>
          <w:rFonts w:cs="Arial"/>
        </w:rPr>
        <w:t>Approach</w:t>
      </w:r>
      <w:r w:rsidRPr="00521222">
        <w:rPr>
          <w:rFonts w:cs="Arial"/>
        </w:rPr>
        <w:t xml:space="preserve">, </w:t>
      </w:r>
      <w:r w:rsidR="0070065D">
        <w:rPr>
          <w:rFonts w:cs="Arial"/>
        </w:rPr>
        <w:t>3</w:t>
      </w:r>
      <w:r w:rsidRPr="00521222">
        <w:rPr>
          <w:rFonts w:cs="Arial"/>
        </w:rPr>
        <w:t xml:space="preserve">) </w:t>
      </w:r>
      <w:r w:rsidR="0070065D">
        <w:rPr>
          <w:rFonts w:cs="Arial"/>
        </w:rPr>
        <w:t>Qualifications of Proposed Personnel, 4) Record of Past Performance/References, 5) Corporate Capability, and 6) Cost Proposal</w:t>
      </w:r>
      <w:r w:rsidRPr="00521222">
        <w:rPr>
          <w:rFonts w:cs="Arial"/>
        </w:rPr>
        <w:t xml:space="preserve">. </w:t>
      </w:r>
      <w:r w:rsidR="00B570C2">
        <w:rPr>
          <w:rFonts w:cs="Arial"/>
        </w:rPr>
        <w:t>Email</w:t>
      </w:r>
      <w:r w:rsidRPr="00521222">
        <w:rPr>
          <w:rFonts w:cs="Arial"/>
        </w:rPr>
        <w:t xml:space="preserve"> </w:t>
      </w:r>
      <w:r w:rsidR="00B570C2">
        <w:rPr>
          <w:rFonts w:cs="Arial"/>
        </w:rPr>
        <w:t>a Word or PDF version of your submission to NFWF</w:t>
      </w:r>
      <w:r w:rsidRPr="00521222">
        <w:rPr>
          <w:rFonts w:cs="Arial"/>
        </w:rPr>
        <w:t xml:space="preserve"> (</w:t>
      </w:r>
      <w:r w:rsidR="00B570C2">
        <w:rPr>
          <w:rFonts w:cs="Arial"/>
        </w:rPr>
        <w:t>Joe Toolan, Manager of Chesapeake Bay Programs,</w:t>
      </w:r>
      <w:r w:rsidR="00B570C2">
        <w:t xml:space="preserve"> </w:t>
      </w:r>
      <w:hyperlink r:id="rId14" w:history="1">
        <w:r w:rsidR="004C0A57" w:rsidRPr="00106306">
          <w:rPr>
            <w:rStyle w:val="Hyperlink"/>
          </w:rPr>
          <w:t>Joe.Toolan@NFWF.org</w:t>
        </w:r>
      </w:hyperlink>
      <w:r w:rsidR="004C0A57">
        <w:t>)</w:t>
      </w:r>
      <w:r w:rsidR="00B570C2">
        <w:rPr>
          <w:rFonts w:cs="Arial"/>
        </w:rPr>
        <w:t>. In the subject line, please indicate “</w:t>
      </w:r>
      <w:r w:rsidR="00B570C2" w:rsidRPr="00B570C2">
        <w:rPr>
          <w:rFonts w:cs="Arial"/>
          <w:i/>
          <w:iCs/>
        </w:rPr>
        <w:t>Response to RFQ for Technical Field Liaisons for the Northeast Region – [name of respondent]</w:t>
      </w:r>
      <w:r w:rsidR="00B570C2">
        <w:rPr>
          <w:rFonts w:cs="Arial"/>
        </w:rPr>
        <w:t>.”</w:t>
      </w:r>
    </w:p>
    <w:p w14:paraId="0B0FAB50" w14:textId="77777777" w:rsidR="00BA2396" w:rsidRPr="00C0687D" w:rsidRDefault="00BA2396" w:rsidP="00881557">
      <w:pPr>
        <w:spacing w:after="0" w:line="240" w:lineRule="auto"/>
        <w:rPr>
          <w:rFonts w:cs="Arial"/>
          <w:sz w:val="16"/>
          <w:szCs w:val="16"/>
        </w:rPr>
      </w:pPr>
    </w:p>
    <w:p w14:paraId="2F0AF3BA" w14:textId="352F5371" w:rsidR="0070515F" w:rsidRDefault="00B570C2" w:rsidP="00881557">
      <w:pPr>
        <w:spacing w:after="0" w:line="240" w:lineRule="auto"/>
      </w:pPr>
      <w:r w:rsidRPr="00B570C2">
        <w:rPr>
          <w:rFonts w:eastAsia="Times New Roman"/>
        </w:rPr>
        <w:t xml:space="preserve">Submissions must </w:t>
      </w:r>
      <w:r>
        <w:rPr>
          <w:rFonts w:eastAsia="Times New Roman"/>
        </w:rPr>
        <w:t>be</w:t>
      </w:r>
      <w:r>
        <w:t xml:space="preserve"> s</w:t>
      </w:r>
      <w:r w:rsidR="00354BF7" w:rsidRPr="00784B08">
        <w:t>ingle-spaced</w:t>
      </w:r>
      <w:r w:rsidR="000377A3" w:rsidRPr="00784B08">
        <w:t xml:space="preserve"> in </w:t>
      </w:r>
      <w:r w:rsidR="002753E6" w:rsidRPr="00784B08">
        <w:t>Word format or a searchable PDF</w:t>
      </w:r>
      <w:r w:rsidR="00354BF7" w:rsidRPr="00784B08">
        <w:t xml:space="preserve">, with a minimum </w:t>
      </w:r>
      <w:r w:rsidR="00490AAD" w:rsidRPr="00784B08">
        <w:t>11-point</w:t>
      </w:r>
      <w:r w:rsidR="00354BF7" w:rsidRPr="00784B08">
        <w:t xml:space="preserve"> font, and not to exceed the indicated page or word limits. </w:t>
      </w:r>
      <w:r w:rsidR="00DF28E9" w:rsidRPr="00784B08">
        <w:t xml:space="preserve">Offerors should organize their Statement based on these </w:t>
      </w:r>
      <w:r w:rsidR="00B21854" w:rsidRPr="00784B08">
        <w:t>sections:</w:t>
      </w:r>
    </w:p>
    <w:p w14:paraId="73A0E506" w14:textId="77777777" w:rsidR="00C0687D" w:rsidRPr="00C0687D" w:rsidRDefault="00C0687D" w:rsidP="00881557">
      <w:pPr>
        <w:spacing w:after="0" w:line="240" w:lineRule="auto"/>
        <w:rPr>
          <w:sz w:val="16"/>
          <w:szCs w:val="16"/>
        </w:rPr>
      </w:pPr>
    </w:p>
    <w:p w14:paraId="0E6E9F5C" w14:textId="633B10BB" w:rsidR="003C537F" w:rsidRDefault="003C537F" w:rsidP="00881557">
      <w:pPr>
        <w:pStyle w:val="ListParagraph"/>
        <w:numPr>
          <w:ilvl w:val="0"/>
          <w:numId w:val="5"/>
        </w:numPr>
        <w:spacing w:after="0" w:line="240" w:lineRule="auto"/>
      </w:pPr>
      <w:r w:rsidRPr="003C537F">
        <w:rPr>
          <w:b/>
          <w:bCs/>
        </w:rPr>
        <w:t>Contact Information.</w:t>
      </w:r>
      <w:r>
        <w:t xml:space="preserve"> Provide</w:t>
      </w:r>
      <w:r w:rsidRPr="003C537F">
        <w:t xml:space="preserve"> a Primary Contact Person, Entity Name, Address, Phone, E-mail, Website, and EIN or SSN</w:t>
      </w:r>
      <w:r>
        <w:t>.</w:t>
      </w:r>
    </w:p>
    <w:p w14:paraId="6BFDD456" w14:textId="77777777" w:rsidR="003C537F" w:rsidRPr="00C0687D" w:rsidRDefault="003C537F" w:rsidP="00881557">
      <w:pPr>
        <w:pStyle w:val="ListParagraph"/>
        <w:spacing w:after="0" w:line="240" w:lineRule="auto"/>
        <w:rPr>
          <w:sz w:val="16"/>
          <w:szCs w:val="16"/>
        </w:rPr>
      </w:pPr>
    </w:p>
    <w:p w14:paraId="5235008F" w14:textId="023A3778" w:rsidR="00B21854" w:rsidRPr="00784B08" w:rsidRDefault="00736D7E" w:rsidP="00881557">
      <w:pPr>
        <w:pStyle w:val="ListParagraph"/>
        <w:numPr>
          <w:ilvl w:val="0"/>
          <w:numId w:val="5"/>
        </w:numPr>
        <w:spacing w:after="0" w:line="240" w:lineRule="auto"/>
      </w:pPr>
      <w:r w:rsidRPr="00784B08">
        <w:rPr>
          <w:b/>
        </w:rPr>
        <w:t>Understanding of the Scope of Work.</w:t>
      </w:r>
      <w:r w:rsidRPr="00784B08">
        <w:t xml:space="preserve"> </w:t>
      </w:r>
      <w:r w:rsidR="008340EC" w:rsidRPr="00784B08">
        <w:t xml:space="preserve">A statement </w:t>
      </w:r>
      <w:r w:rsidR="00514434" w:rsidRPr="00784B08">
        <w:t xml:space="preserve">of </w:t>
      </w:r>
      <w:r w:rsidR="00514434" w:rsidRPr="00784B08">
        <w:rPr>
          <w:b/>
        </w:rPr>
        <w:t xml:space="preserve">no more than one </w:t>
      </w:r>
      <w:r w:rsidR="004F36E6" w:rsidRPr="00784B08">
        <w:rPr>
          <w:b/>
        </w:rPr>
        <w:t>page</w:t>
      </w:r>
      <w:r w:rsidR="00DC27B3" w:rsidRPr="00784B08">
        <w:rPr>
          <w:b/>
        </w:rPr>
        <w:t xml:space="preserve"> </w:t>
      </w:r>
      <w:r w:rsidR="00514434" w:rsidRPr="00784B08">
        <w:t>d</w:t>
      </w:r>
      <w:r w:rsidR="00CE5B13" w:rsidRPr="00784B08">
        <w:t>emonstrat</w:t>
      </w:r>
      <w:r w:rsidR="008340EC" w:rsidRPr="00784B08">
        <w:t>ing</w:t>
      </w:r>
      <w:r w:rsidR="00CE5B13" w:rsidRPr="00784B08">
        <w:t xml:space="preserve"> an </w:t>
      </w:r>
      <w:r w:rsidRPr="00784B08">
        <w:t>understanding of</w:t>
      </w:r>
      <w:r w:rsidR="004F36E6" w:rsidRPr="00784B08">
        <w:t xml:space="preserve"> the challenges faced by the </w:t>
      </w:r>
      <w:r w:rsidR="005347B0">
        <w:t>program(s) with</w:t>
      </w:r>
      <w:r w:rsidR="004F36E6" w:rsidRPr="00784B08">
        <w:t xml:space="preserve"> which the offeror purports to work</w:t>
      </w:r>
      <w:r w:rsidR="005347B0">
        <w:t xml:space="preserve">, including a comprehension of the geography, communities, </w:t>
      </w:r>
      <w:proofErr w:type="gramStart"/>
      <w:r w:rsidR="005347B0">
        <w:t>partners</w:t>
      </w:r>
      <w:proofErr w:type="gramEnd"/>
      <w:r w:rsidR="005347B0">
        <w:t xml:space="preserve"> and their dynamics.</w:t>
      </w:r>
    </w:p>
    <w:p w14:paraId="56634D8F" w14:textId="77777777" w:rsidR="00B21854" w:rsidRPr="00C0687D" w:rsidRDefault="00B21854" w:rsidP="00881557">
      <w:pPr>
        <w:pStyle w:val="ListParagraph"/>
        <w:spacing w:after="0" w:line="240" w:lineRule="auto"/>
        <w:rPr>
          <w:sz w:val="16"/>
          <w:szCs w:val="16"/>
        </w:rPr>
      </w:pPr>
    </w:p>
    <w:p w14:paraId="3AA33819" w14:textId="29CC67AD" w:rsidR="00B21854" w:rsidRPr="00784B08" w:rsidRDefault="00736D7E" w:rsidP="00881557">
      <w:pPr>
        <w:pStyle w:val="ListParagraph"/>
        <w:numPr>
          <w:ilvl w:val="0"/>
          <w:numId w:val="5"/>
        </w:numPr>
        <w:spacing w:after="0" w:line="240" w:lineRule="auto"/>
      </w:pPr>
      <w:r w:rsidRPr="00784B08">
        <w:rPr>
          <w:b/>
        </w:rPr>
        <w:t>Technical Approach</w:t>
      </w:r>
      <w:r w:rsidR="008340EC" w:rsidRPr="00784B08">
        <w:rPr>
          <w:b/>
        </w:rPr>
        <w:t>.</w:t>
      </w:r>
      <w:r w:rsidR="008340EC" w:rsidRPr="00784B08">
        <w:t xml:space="preserve"> A description of </w:t>
      </w:r>
      <w:r w:rsidR="008340EC" w:rsidRPr="00784B08">
        <w:rPr>
          <w:b/>
        </w:rPr>
        <w:t xml:space="preserve">no more than </w:t>
      </w:r>
      <w:r w:rsidR="004F36E6" w:rsidRPr="00784B08">
        <w:rPr>
          <w:b/>
        </w:rPr>
        <w:t>one pa</w:t>
      </w:r>
      <w:r w:rsidR="008E2A79">
        <w:rPr>
          <w:b/>
        </w:rPr>
        <w:t>ge</w:t>
      </w:r>
      <w:r w:rsidR="008340EC" w:rsidRPr="00784B08">
        <w:t xml:space="preserve"> of a </w:t>
      </w:r>
      <w:r w:rsidRPr="00784B08">
        <w:t>proposed technical approach for</w:t>
      </w:r>
      <w:r w:rsidR="004F36E6" w:rsidRPr="00784B08">
        <w:t xml:space="preserve"> facilitating </w:t>
      </w:r>
      <w:bookmarkStart w:id="0" w:name="_Hlk125552078"/>
      <w:r w:rsidR="004F36E6" w:rsidRPr="00784B08">
        <w:t>the success of grant investments</w:t>
      </w:r>
      <w:r w:rsidR="005347B0">
        <w:t xml:space="preserve"> and overall program strategy and improvement.</w:t>
      </w:r>
      <w:bookmarkEnd w:id="0"/>
    </w:p>
    <w:p w14:paraId="22ABE60F" w14:textId="77777777" w:rsidR="00B21854" w:rsidRPr="00C0687D" w:rsidRDefault="00B21854" w:rsidP="00881557">
      <w:pPr>
        <w:pStyle w:val="ListParagraph"/>
        <w:spacing w:after="0" w:line="240" w:lineRule="auto"/>
        <w:rPr>
          <w:sz w:val="16"/>
          <w:szCs w:val="16"/>
        </w:rPr>
      </w:pPr>
    </w:p>
    <w:p w14:paraId="7AA6456C" w14:textId="53CE555F" w:rsidR="003C537F" w:rsidRDefault="00736D7E" w:rsidP="00881557">
      <w:pPr>
        <w:pStyle w:val="ListParagraph"/>
        <w:numPr>
          <w:ilvl w:val="0"/>
          <w:numId w:val="5"/>
        </w:numPr>
        <w:spacing w:after="0" w:line="240" w:lineRule="auto"/>
      </w:pPr>
      <w:r w:rsidRPr="00784B08">
        <w:rPr>
          <w:b/>
        </w:rPr>
        <w:t>Qualifications of Proposed Personnel.</w:t>
      </w:r>
      <w:r w:rsidRPr="00784B08">
        <w:t xml:space="preserve"> </w:t>
      </w:r>
      <w:r w:rsidR="008340EC" w:rsidRPr="00784B08">
        <w:t xml:space="preserve">Resumes </w:t>
      </w:r>
      <w:r w:rsidR="00B570C2">
        <w:t>or CVs</w:t>
      </w:r>
      <w:r w:rsidR="008340EC" w:rsidRPr="00784B08">
        <w:t xml:space="preserve"> of the principal investigator(s)</w:t>
      </w:r>
      <w:r w:rsidR="007A72F4" w:rsidRPr="00784B08">
        <w:t>, including any subcontractors,</w:t>
      </w:r>
      <w:r w:rsidR="008340EC" w:rsidRPr="00784B08">
        <w:t xml:space="preserve"> </w:t>
      </w:r>
      <w:r w:rsidRPr="00784B08">
        <w:t>describ</w:t>
      </w:r>
      <w:r w:rsidR="008340EC" w:rsidRPr="00784B08">
        <w:t>ing</w:t>
      </w:r>
      <w:r w:rsidRPr="00784B08">
        <w:t xml:space="preserve"> relevant professional experience in the following areas:</w:t>
      </w:r>
    </w:p>
    <w:p w14:paraId="2411CB42" w14:textId="750E063E" w:rsidR="003C537F" w:rsidRDefault="00736D7E" w:rsidP="00881557">
      <w:pPr>
        <w:pStyle w:val="ListParagraph"/>
        <w:numPr>
          <w:ilvl w:val="1"/>
          <w:numId w:val="5"/>
        </w:numPr>
        <w:spacing w:after="0" w:line="240" w:lineRule="auto"/>
      </w:pPr>
      <w:r w:rsidRPr="00784B08">
        <w:t xml:space="preserve">experience </w:t>
      </w:r>
      <w:r w:rsidR="0070515F" w:rsidRPr="00784B08">
        <w:t>working</w:t>
      </w:r>
      <w:r w:rsidRPr="00784B08">
        <w:t xml:space="preserve"> with federal, state</w:t>
      </w:r>
      <w:r w:rsidR="00450D47" w:rsidRPr="00784B08">
        <w:t xml:space="preserve">, </w:t>
      </w:r>
      <w:r w:rsidR="000F6CD3" w:rsidRPr="00784B08">
        <w:t xml:space="preserve">and </w:t>
      </w:r>
      <w:r w:rsidRPr="00784B08">
        <w:t>local governmental agencies</w:t>
      </w:r>
      <w:r w:rsidR="0070515F" w:rsidRPr="00784B08">
        <w:t>,</w:t>
      </w:r>
      <w:r w:rsidRPr="00784B08">
        <w:t xml:space="preserve"> national and local NGOs involved with conservation</w:t>
      </w:r>
      <w:r w:rsidR="00DD4E95" w:rsidRPr="00784B08">
        <w:t>;</w:t>
      </w:r>
    </w:p>
    <w:p w14:paraId="2C90DDB0" w14:textId="77777777" w:rsidR="003C537F" w:rsidRDefault="00D93507" w:rsidP="00881557">
      <w:pPr>
        <w:pStyle w:val="ListParagraph"/>
        <w:numPr>
          <w:ilvl w:val="1"/>
          <w:numId w:val="5"/>
        </w:numPr>
        <w:spacing w:after="0" w:line="240" w:lineRule="auto"/>
      </w:pPr>
      <w:r>
        <w:lastRenderedPageBreak/>
        <w:t>development and management of regional-scale partnerships and collaboratives to advance conservation outcomes;</w:t>
      </w:r>
    </w:p>
    <w:p w14:paraId="2133867E" w14:textId="41F3D89A" w:rsidR="003C537F" w:rsidRDefault="004F36E6" w:rsidP="00881557">
      <w:pPr>
        <w:pStyle w:val="ListParagraph"/>
        <w:numPr>
          <w:ilvl w:val="1"/>
          <w:numId w:val="5"/>
        </w:numPr>
        <w:spacing w:after="0" w:line="240" w:lineRule="auto"/>
      </w:pPr>
      <w:r w:rsidRPr="00784B08">
        <w:t xml:space="preserve">experience with </w:t>
      </w:r>
      <w:r w:rsidR="000D20C9">
        <w:t>f</w:t>
      </w:r>
      <w:r w:rsidR="000D20C9" w:rsidRPr="00784B08">
        <w:t xml:space="preserve">oundations </w:t>
      </w:r>
      <w:r w:rsidRPr="00784B08">
        <w:t>and grants management</w:t>
      </w:r>
      <w:r w:rsidR="00460476" w:rsidRPr="00784B08">
        <w:t xml:space="preserve">; </w:t>
      </w:r>
      <w:r w:rsidR="00D93507">
        <w:t>an</w:t>
      </w:r>
      <w:r w:rsidR="003C537F">
        <w:t>d</w:t>
      </w:r>
    </w:p>
    <w:p w14:paraId="7C082EB7" w14:textId="4FE65E8E" w:rsidR="003C537F" w:rsidRDefault="00D93507" w:rsidP="00881557">
      <w:pPr>
        <w:pStyle w:val="ListParagraph"/>
        <w:numPr>
          <w:ilvl w:val="1"/>
          <w:numId w:val="5"/>
        </w:numPr>
        <w:spacing w:after="0" w:line="240" w:lineRule="auto"/>
      </w:pPr>
      <w:r>
        <w:t>watershed management, including relevant source sectors or areas of expertise</w:t>
      </w:r>
      <w:r w:rsidR="004F36E6" w:rsidRPr="00784B08">
        <w:t>.</w:t>
      </w:r>
    </w:p>
    <w:p w14:paraId="53C63D3C" w14:textId="77777777" w:rsidR="003C537F" w:rsidRPr="00C0687D" w:rsidRDefault="003C537F" w:rsidP="00881557">
      <w:pPr>
        <w:spacing w:after="0" w:line="240" w:lineRule="auto"/>
        <w:rPr>
          <w:sz w:val="16"/>
          <w:szCs w:val="16"/>
        </w:rPr>
      </w:pPr>
    </w:p>
    <w:p w14:paraId="37A59229" w14:textId="7915F4BD" w:rsidR="00D03AA3" w:rsidRPr="00784B08" w:rsidRDefault="00343373" w:rsidP="00881557">
      <w:pPr>
        <w:spacing w:after="0" w:line="240" w:lineRule="auto"/>
        <w:ind w:firstLine="720"/>
      </w:pPr>
      <w:r w:rsidRPr="00784B08">
        <w:t xml:space="preserve">There is </w:t>
      </w:r>
      <w:r w:rsidRPr="003C537F">
        <w:rPr>
          <w:b/>
        </w:rPr>
        <w:t>no page limit</w:t>
      </w:r>
      <w:r w:rsidRPr="00784B08">
        <w:t xml:space="preserve"> associated with </w:t>
      </w:r>
      <w:r w:rsidR="006A3FDA" w:rsidRPr="00784B08">
        <w:t xml:space="preserve">this </w:t>
      </w:r>
      <w:r w:rsidRPr="00784B08">
        <w:t xml:space="preserve">element of the </w:t>
      </w:r>
      <w:r w:rsidR="00D80A0C">
        <w:t>Proposal</w:t>
      </w:r>
      <w:r w:rsidRPr="00784B08">
        <w:t>.</w:t>
      </w:r>
    </w:p>
    <w:p w14:paraId="65E4F806" w14:textId="77777777" w:rsidR="00D03AA3" w:rsidRPr="00C0687D" w:rsidRDefault="00D03AA3" w:rsidP="00881557">
      <w:pPr>
        <w:spacing w:after="0" w:line="240" w:lineRule="auto"/>
        <w:rPr>
          <w:sz w:val="16"/>
          <w:szCs w:val="16"/>
        </w:rPr>
      </w:pPr>
    </w:p>
    <w:p w14:paraId="1C0BE2D0" w14:textId="43A4C913" w:rsidR="00D03AA3" w:rsidRPr="00784B08" w:rsidRDefault="008340EC" w:rsidP="00881557">
      <w:pPr>
        <w:pStyle w:val="ListParagraph"/>
        <w:numPr>
          <w:ilvl w:val="0"/>
          <w:numId w:val="5"/>
        </w:numPr>
        <w:spacing w:after="0" w:line="240" w:lineRule="auto"/>
      </w:pPr>
      <w:r w:rsidRPr="00784B08">
        <w:rPr>
          <w:b/>
        </w:rPr>
        <w:t xml:space="preserve">Record of </w:t>
      </w:r>
      <w:r w:rsidR="00736D7E" w:rsidRPr="00784B08">
        <w:rPr>
          <w:b/>
        </w:rPr>
        <w:t>Past Performance</w:t>
      </w:r>
      <w:r w:rsidR="002E221C" w:rsidRPr="00784B08">
        <w:rPr>
          <w:b/>
        </w:rPr>
        <w:t>/References</w:t>
      </w:r>
      <w:r w:rsidR="00736D7E" w:rsidRPr="00784B08">
        <w:rPr>
          <w:b/>
        </w:rPr>
        <w:t>.</w:t>
      </w:r>
      <w:r w:rsidR="00736D7E" w:rsidRPr="00784B08">
        <w:t xml:space="preserve"> Th</w:t>
      </w:r>
      <w:r w:rsidR="00A70536" w:rsidRPr="00784B08">
        <w:t xml:space="preserve">e </w:t>
      </w:r>
      <w:r w:rsidR="00D80A0C">
        <w:t>Proposal</w:t>
      </w:r>
      <w:r w:rsidR="002E221C" w:rsidRPr="00784B08">
        <w:t xml:space="preserve"> </w:t>
      </w:r>
      <w:r w:rsidR="00A70536" w:rsidRPr="00784B08">
        <w:t>should</w:t>
      </w:r>
      <w:r w:rsidR="008961A7" w:rsidRPr="00784B08">
        <w:t xml:space="preserve"> </w:t>
      </w:r>
      <w:r w:rsidR="00514434" w:rsidRPr="00784B08">
        <w:t>i</w:t>
      </w:r>
      <w:r w:rsidR="002E221C" w:rsidRPr="00784B08">
        <w:t xml:space="preserve">dentify </w:t>
      </w:r>
      <w:r w:rsidR="00514434" w:rsidRPr="00784B08">
        <w:t xml:space="preserve">at least three </w:t>
      </w:r>
      <w:r w:rsidR="00736D7E" w:rsidRPr="00784B08">
        <w:t>past</w:t>
      </w:r>
      <w:r w:rsidR="00514434" w:rsidRPr="00784B08">
        <w:t xml:space="preserve"> engagements </w:t>
      </w:r>
      <w:r w:rsidR="00736D7E" w:rsidRPr="00784B08">
        <w:t xml:space="preserve">conducting </w:t>
      </w:r>
      <w:r w:rsidR="00514434" w:rsidRPr="00784B08">
        <w:t xml:space="preserve">similar </w:t>
      </w:r>
      <w:r w:rsidR="004F36E6" w:rsidRPr="00784B08">
        <w:t>work</w:t>
      </w:r>
      <w:r w:rsidR="00271431" w:rsidRPr="00784B08">
        <w:t xml:space="preserve"> </w:t>
      </w:r>
      <w:r w:rsidR="006B751C" w:rsidRPr="00784B08">
        <w:t>for</w:t>
      </w:r>
      <w:r w:rsidR="00271431" w:rsidRPr="00784B08">
        <w:t xml:space="preserve"> NFWF or other organizations</w:t>
      </w:r>
      <w:r w:rsidR="00951E03" w:rsidRPr="00784B08">
        <w:t>,</w:t>
      </w:r>
      <w:r w:rsidR="006B751C" w:rsidRPr="00784B08">
        <w:t xml:space="preserve"> </w:t>
      </w:r>
      <w:r w:rsidR="007A72F4" w:rsidRPr="00784B08">
        <w:t xml:space="preserve">identifying </w:t>
      </w:r>
      <w:r w:rsidR="00A677B3" w:rsidRPr="00784B08">
        <w:t>the o</w:t>
      </w:r>
      <w:r w:rsidR="002E221C" w:rsidRPr="00784B08">
        <w:t>fferor’s</w:t>
      </w:r>
      <w:r w:rsidR="00951E03" w:rsidRPr="00784B08">
        <w:t xml:space="preserve"> quality of work, timeliness, and cost control</w:t>
      </w:r>
      <w:r w:rsidR="00736D7E" w:rsidRPr="00784B08">
        <w:t xml:space="preserve">. </w:t>
      </w:r>
      <w:r w:rsidR="00DF28E9" w:rsidRPr="00784B08">
        <w:t>The statement should also in</w:t>
      </w:r>
      <w:r w:rsidR="008961A7" w:rsidRPr="00784B08">
        <w:t xml:space="preserve">clude communication experience writing reports, conducting </w:t>
      </w:r>
      <w:r w:rsidR="00490AAD" w:rsidRPr="00784B08">
        <w:t>webinars,</w:t>
      </w:r>
      <w:r w:rsidR="008961A7" w:rsidRPr="00784B08">
        <w:t xml:space="preserve"> and delivering pr</w:t>
      </w:r>
      <w:r w:rsidR="00DF28E9" w:rsidRPr="00784B08">
        <w:t xml:space="preserve">esentations to </w:t>
      </w:r>
      <w:r w:rsidR="008961A7" w:rsidRPr="00784B08">
        <w:t xml:space="preserve">different types of audiences. </w:t>
      </w:r>
      <w:r w:rsidR="00771B5E" w:rsidRPr="00784B08">
        <w:t xml:space="preserve">The </w:t>
      </w:r>
      <w:r w:rsidR="002753E6" w:rsidRPr="00784B08">
        <w:t xml:space="preserve">cumulative </w:t>
      </w:r>
      <w:r w:rsidR="00771B5E" w:rsidRPr="00784B08">
        <w:t>statement of past performance</w:t>
      </w:r>
      <w:r w:rsidR="002753E6" w:rsidRPr="00784B08">
        <w:t>s</w:t>
      </w:r>
      <w:r w:rsidR="00771B5E" w:rsidRPr="00784B08">
        <w:t xml:space="preserve"> </w:t>
      </w:r>
      <w:r w:rsidR="00771B5E" w:rsidRPr="00784B08">
        <w:rPr>
          <w:b/>
        </w:rPr>
        <w:t xml:space="preserve">should not exceed </w:t>
      </w:r>
      <w:r w:rsidR="008E2A79">
        <w:rPr>
          <w:b/>
        </w:rPr>
        <w:t>1</w:t>
      </w:r>
      <w:r w:rsidR="00771B5E" w:rsidRPr="00784B08">
        <w:rPr>
          <w:b/>
        </w:rPr>
        <w:t xml:space="preserve"> page</w:t>
      </w:r>
      <w:r w:rsidR="00771B5E" w:rsidRPr="00784B08">
        <w:t xml:space="preserve">. </w:t>
      </w:r>
      <w:r w:rsidR="002E221C" w:rsidRPr="00784B08">
        <w:t>The Statement should include names, email addresses, and telephone numbers</w:t>
      </w:r>
      <w:r w:rsidR="00DF28E9" w:rsidRPr="00784B08">
        <w:t xml:space="preserve"> of points of contact for the referenced </w:t>
      </w:r>
      <w:r w:rsidR="008961A7" w:rsidRPr="00784B08">
        <w:t>engagements</w:t>
      </w:r>
      <w:r w:rsidR="002E221C" w:rsidRPr="00784B08">
        <w:t>.</w:t>
      </w:r>
      <w:r w:rsidR="00736D7E" w:rsidRPr="00784B08">
        <w:t xml:space="preserve"> If </w:t>
      </w:r>
      <w:r w:rsidR="00951E03" w:rsidRPr="00784B08">
        <w:t xml:space="preserve">the </w:t>
      </w:r>
      <w:r w:rsidR="00A677B3" w:rsidRPr="00784B08">
        <w:t>o</w:t>
      </w:r>
      <w:r w:rsidR="00951E03" w:rsidRPr="00784B08">
        <w:t xml:space="preserve">fferor </w:t>
      </w:r>
      <w:r w:rsidR="002E221C" w:rsidRPr="00784B08">
        <w:t xml:space="preserve">anticipates retaining </w:t>
      </w:r>
      <w:r w:rsidR="00004295" w:rsidRPr="00784B08">
        <w:t>subcontractors for</w:t>
      </w:r>
      <w:r w:rsidR="002E221C" w:rsidRPr="00784B08">
        <w:t xml:space="preserve"> this task</w:t>
      </w:r>
      <w:r w:rsidR="00736D7E" w:rsidRPr="00784B08">
        <w:t>, information should be provided that demonstrates th</w:t>
      </w:r>
      <w:r w:rsidR="00520B15" w:rsidRPr="00784B08">
        <w:t xml:space="preserve">eir past performance as well. </w:t>
      </w:r>
    </w:p>
    <w:p w14:paraId="0F08F6DE" w14:textId="77777777" w:rsidR="00D03AA3" w:rsidRPr="00881557" w:rsidRDefault="00D03AA3" w:rsidP="00881557">
      <w:pPr>
        <w:pStyle w:val="ListParagraph"/>
        <w:spacing w:after="0" w:line="240" w:lineRule="auto"/>
        <w:rPr>
          <w:sz w:val="16"/>
          <w:szCs w:val="16"/>
        </w:rPr>
      </w:pPr>
    </w:p>
    <w:p w14:paraId="253130BC" w14:textId="60930EF4" w:rsidR="00521222" w:rsidRDefault="00D03AA3" w:rsidP="00881557">
      <w:pPr>
        <w:pStyle w:val="ListParagraph"/>
        <w:numPr>
          <w:ilvl w:val="0"/>
          <w:numId w:val="5"/>
        </w:numPr>
        <w:spacing w:after="0" w:line="240" w:lineRule="auto"/>
      </w:pPr>
      <w:r w:rsidRPr="00784B08">
        <w:rPr>
          <w:b/>
        </w:rPr>
        <w:t>C</w:t>
      </w:r>
      <w:r w:rsidR="00951E03" w:rsidRPr="00784B08">
        <w:rPr>
          <w:b/>
        </w:rPr>
        <w:t>orporate Capability.</w:t>
      </w:r>
      <w:r w:rsidR="00951E03" w:rsidRPr="00784B08">
        <w:t xml:space="preserve"> </w:t>
      </w:r>
      <w:r w:rsidR="003C537F" w:rsidRPr="003C537F">
        <w:t>The applicant shall provide with the RFP response, proof of financial stability in the form of financial statements, credit ratings, a line of credit, or other financial arrangements sufficient to demonstrate the applicant’s capability to meet the requirements of this RFP.</w:t>
      </w:r>
    </w:p>
    <w:p w14:paraId="20082CFB" w14:textId="77777777" w:rsidR="00521222" w:rsidRPr="00881557" w:rsidRDefault="00521222" w:rsidP="00881557">
      <w:pPr>
        <w:pStyle w:val="ListParagraph"/>
        <w:spacing w:line="240" w:lineRule="auto"/>
        <w:rPr>
          <w:sz w:val="16"/>
          <w:szCs w:val="16"/>
        </w:rPr>
      </w:pPr>
    </w:p>
    <w:p w14:paraId="621378A5" w14:textId="6784C7F5" w:rsidR="00521222" w:rsidRPr="00784B08" w:rsidRDefault="00521222" w:rsidP="00881557">
      <w:pPr>
        <w:pStyle w:val="ListParagraph"/>
        <w:numPr>
          <w:ilvl w:val="0"/>
          <w:numId w:val="5"/>
        </w:numPr>
        <w:spacing w:after="0" w:line="240" w:lineRule="auto"/>
      </w:pPr>
      <w:r w:rsidRPr="00521222">
        <w:rPr>
          <w:b/>
        </w:rPr>
        <w:t>Cost Proposal.</w:t>
      </w:r>
      <w:r w:rsidRPr="00521222">
        <w:t xml:space="preserve"> The Cost Proposal includes the proposal budget and budget justification. The cost proposal must be submitted using the </w:t>
      </w:r>
      <w:r w:rsidR="008A1B0A">
        <w:t xml:space="preserve">budget template located </w:t>
      </w:r>
      <w:commentRangeStart w:id="1"/>
      <w:r w:rsidR="008A1B0A">
        <w:t>here</w:t>
      </w:r>
      <w:commentRangeEnd w:id="1"/>
      <w:r w:rsidR="008A1B0A">
        <w:rPr>
          <w:rStyle w:val="CommentReference"/>
          <w:rFonts w:eastAsia="Calibri" w:cs="Times New Roman"/>
        </w:rPr>
        <w:commentReference w:id="1"/>
      </w:r>
      <w:r w:rsidRPr="00521222">
        <w:t>.</w:t>
      </w:r>
      <w:r>
        <w:t xml:space="preserve"> </w:t>
      </w:r>
      <w:r w:rsidRPr="00521222">
        <w:t>The cost proposal budget should be cost</w:t>
      </w:r>
      <w:r w:rsidR="00490AAD">
        <w:t>-</w:t>
      </w:r>
      <w:r w:rsidRPr="00521222">
        <w:t xml:space="preserve">effective and should maximize the value for monies requested in the </w:t>
      </w:r>
      <w:r w:rsidR="000B0940">
        <w:t>o</w:t>
      </w:r>
      <w:r w:rsidR="000B0940" w:rsidRPr="00521222">
        <w:t xml:space="preserve">fferor’s </w:t>
      </w:r>
      <w:r w:rsidRPr="00521222">
        <w:t>budget. Please break various tasks into separate line items. Profit/profit margin must be separately itemized in the budget.</w:t>
      </w:r>
    </w:p>
    <w:p w14:paraId="463878E5" w14:textId="274CFD70" w:rsidR="00CE5B13" w:rsidRPr="00881557" w:rsidRDefault="00CE5B13" w:rsidP="00881557">
      <w:pPr>
        <w:pStyle w:val="NoSpacing"/>
        <w:rPr>
          <w:b/>
          <w:color w:val="000000"/>
          <w:sz w:val="16"/>
          <w:szCs w:val="16"/>
        </w:rPr>
      </w:pPr>
    </w:p>
    <w:p w14:paraId="3FE4658B" w14:textId="415136AD" w:rsidR="008356AD" w:rsidRPr="00887B17" w:rsidRDefault="008356AD" w:rsidP="00881557">
      <w:pPr>
        <w:spacing w:after="0" w:line="240" w:lineRule="auto"/>
        <w:rPr>
          <w:rFonts w:asciiTheme="minorHAnsi" w:hAnsiTheme="minorHAnsi"/>
          <w:b/>
          <w:color w:val="0070C0"/>
          <w:u w:val="single"/>
        </w:rPr>
      </w:pPr>
      <w:r w:rsidRPr="00887B17">
        <w:rPr>
          <w:rFonts w:asciiTheme="minorHAnsi" w:hAnsiTheme="minorHAnsi"/>
          <w:b/>
          <w:color w:val="000000"/>
          <w:u w:val="single"/>
        </w:rPr>
        <w:t xml:space="preserve">SELECTION </w:t>
      </w:r>
      <w:r w:rsidR="008A1B0A" w:rsidRPr="00887B17">
        <w:rPr>
          <w:rFonts w:asciiTheme="minorHAnsi" w:hAnsiTheme="minorHAnsi"/>
          <w:b/>
          <w:color w:val="000000"/>
          <w:u w:val="single"/>
        </w:rPr>
        <w:t>PROCESS AND CRITERIA</w:t>
      </w:r>
    </w:p>
    <w:p w14:paraId="4FA369A9" w14:textId="5756C220" w:rsidR="008356AD" w:rsidRDefault="008356AD" w:rsidP="00881557">
      <w:pPr>
        <w:pStyle w:val="NoSpacing"/>
        <w:rPr>
          <w:bCs/>
          <w:color w:val="000000"/>
        </w:rPr>
      </w:pPr>
      <w:r w:rsidRPr="008356AD">
        <w:rPr>
          <w:bCs/>
          <w:color w:val="000000"/>
        </w:rPr>
        <w:t xml:space="preserve">A panel of NFWF staff will review the full proposals. Offerors may be asked to modify objectives, work plans, or budgets prior to final approval of the award. Up to </w:t>
      </w:r>
      <w:r w:rsidR="008A1B0A">
        <w:rPr>
          <w:bCs/>
          <w:color w:val="000000"/>
        </w:rPr>
        <w:t>nine</w:t>
      </w:r>
      <w:r w:rsidRPr="008356AD">
        <w:rPr>
          <w:bCs/>
          <w:color w:val="000000"/>
        </w:rPr>
        <w:t xml:space="preserve"> contracts may be made for this project. If multiple institutions are involved in one application, they should be handled through sub-awards and sub-contracts.</w:t>
      </w:r>
    </w:p>
    <w:p w14:paraId="36621BF1" w14:textId="6CD6CFFA" w:rsidR="008A1B0A" w:rsidRPr="00881557" w:rsidRDefault="008A1B0A" w:rsidP="00881557">
      <w:pPr>
        <w:pStyle w:val="NoSpacing"/>
        <w:rPr>
          <w:bCs/>
          <w:color w:val="000000"/>
          <w:sz w:val="16"/>
          <w:szCs w:val="16"/>
        </w:rPr>
      </w:pPr>
    </w:p>
    <w:p w14:paraId="138C16E6" w14:textId="777402FC" w:rsidR="008A1B0A" w:rsidRDefault="008A1B0A" w:rsidP="00881557">
      <w:pPr>
        <w:pStyle w:val="NoSpacing"/>
        <w:rPr>
          <w:bCs/>
          <w:color w:val="000000"/>
        </w:rPr>
      </w:pPr>
      <w:r w:rsidRPr="008A1B0A">
        <w:rPr>
          <w:bCs/>
          <w:color w:val="000000"/>
        </w:rPr>
        <w:t>Failure to include all materials outlined above may cause a submission to be deemed non-responsive.  NFWF will give priority consideration to respondents that demonstrate the following in a fully responsive submission:</w:t>
      </w:r>
    </w:p>
    <w:p w14:paraId="38A37E33" w14:textId="77777777" w:rsidR="00887B17" w:rsidRPr="00881557" w:rsidRDefault="00887B17" w:rsidP="00881557">
      <w:pPr>
        <w:pStyle w:val="NoSpacing"/>
        <w:rPr>
          <w:bCs/>
          <w:color w:val="000000"/>
          <w:sz w:val="16"/>
          <w:szCs w:val="16"/>
        </w:rPr>
      </w:pPr>
    </w:p>
    <w:p w14:paraId="07D479F1" w14:textId="275DD5A6" w:rsidR="008A1B0A" w:rsidRPr="00887B17" w:rsidRDefault="008A1B0A" w:rsidP="00881557">
      <w:pPr>
        <w:pStyle w:val="NoSpacing"/>
        <w:numPr>
          <w:ilvl w:val="0"/>
          <w:numId w:val="9"/>
        </w:numPr>
        <w:rPr>
          <w:bCs/>
          <w:color w:val="000000"/>
        </w:rPr>
      </w:pPr>
      <w:r w:rsidRPr="008A1B0A">
        <w:rPr>
          <w:b/>
          <w:color w:val="000000"/>
        </w:rPr>
        <w:t>Understanding of the Scope or Work.</w:t>
      </w:r>
      <w:r w:rsidRPr="008A1B0A">
        <w:rPr>
          <w:bCs/>
          <w:color w:val="000000"/>
        </w:rPr>
        <w:t xml:space="preserve"> The proposed </w:t>
      </w:r>
      <w:r w:rsidR="00916D53">
        <w:rPr>
          <w:bCs/>
          <w:color w:val="000000"/>
        </w:rPr>
        <w:t>t</w:t>
      </w:r>
      <w:r w:rsidR="00916D53" w:rsidRPr="008A1B0A">
        <w:rPr>
          <w:bCs/>
          <w:color w:val="000000"/>
        </w:rPr>
        <w:t xml:space="preserve">echnical </w:t>
      </w:r>
      <w:r w:rsidR="00916D53">
        <w:rPr>
          <w:bCs/>
          <w:color w:val="000000"/>
        </w:rPr>
        <w:t>a</w:t>
      </w:r>
      <w:r w:rsidR="00916D53" w:rsidRPr="008A1B0A">
        <w:rPr>
          <w:bCs/>
          <w:color w:val="000000"/>
        </w:rPr>
        <w:t xml:space="preserve">pproach </w:t>
      </w:r>
      <w:r w:rsidRPr="008A1B0A">
        <w:rPr>
          <w:bCs/>
          <w:color w:val="000000"/>
        </w:rPr>
        <w:t>must demonstrate considerable experience working in a variety of settings and jurisdictions, with specific</w:t>
      </w:r>
      <w:r>
        <w:rPr>
          <w:bCs/>
          <w:color w:val="000000"/>
        </w:rPr>
        <w:t xml:space="preserve"> expertise </w:t>
      </w:r>
      <w:r w:rsidRPr="008A1B0A">
        <w:rPr>
          <w:bCs/>
          <w:color w:val="000000"/>
        </w:rPr>
        <w:t>develop</w:t>
      </w:r>
      <w:r>
        <w:rPr>
          <w:bCs/>
          <w:color w:val="000000"/>
        </w:rPr>
        <w:t xml:space="preserve">ing </w:t>
      </w:r>
      <w:r w:rsidRPr="008A1B0A">
        <w:rPr>
          <w:bCs/>
          <w:color w:val="000000"/>
        </w:rPr>
        <w:t xml:space="preserve">and </w:t>
      </w:r>
      <w:r>
        <w:rPr>
          <w:bCs/>
          <w:color w:val="000000"/>
        </w:rPr>
        <w:t>managing</w:t>
      </w:r>
      <w:r w:rsidRPr="008A1B0A">
        <w:rPr>
          <w:bCs/>
          <w:color w:val="000000"/>
        </w:rPr>
        <w:t xml:space="preserve"> regional-scale partnerships and collaboratives to advance conservation outcomes. The proposed </w:t>
      </w:r>
      <w:r w:rsidR="00916D53">
        <w:rPr>
          <w:bCs/>
          <w:color w:val="000000"/>
        </w:rPr>
        <w:t>t</w:t>
      </w:r>
      <w:r w:rsidR="00916D53" w:rsidRPr="008A1B0A">
        <w:rPr>
          <w:bCs/>
          <w:color w:val="000000"/>
        </w:rPr>
        <w:t xml:space="preserve">echnical </w:t>
      </w:r>
      <w:r w:rsidR="00916D53">
        <w:rPr>
          <w:bCs/>
          <w:color w:val="000000"/>
        </w:rPr>
        <w:t>a</w:t>
      </w:r>
      <w:r w:rsidR="00916D53" w:rsidRPr="008A1B0A">
        <w:rPr>
          <w:bCs/>
          <w:color w:val="000000"/>
        </w:rPr>
        <w:t xml:space="preserve">pproach </w:t>
      </w:r>
      <w:r w:rsidRPr="008A1B0A">
        <w:rPr>
          <w:bCs/>
          <w:color w:val="000000"/>
        </w:rPr>
        <w:t xml:space="preserve">must demonstrate an understanding of the </w:t>
      </w:r>
      <w:r>
        <w:rPr>
          <w:bCs/>
          <w:color w:val="000000"/>
        </w:rPr>
        <w:t xml:space="preserve">Central Appalachia Program and </w:t>
      </w:r>
      <w:r w:rsidR="00C0687D">
        <w:rPr>
          <w:bCs/>
          <w:color w:val="000000"/>
        </w:rPr>
        <w:t>CBSF</w:t>
      </w:r>
      <w:r>
        <w:rPr>
          <w:bCs/>
          <w:color w:val="000000"/>
        </w:rPr>
        <w:t xml:space="preserve"> </w:t>
      </w:r>
      <w:r w:rsidRPr="008A1B0A">
        <w:rPr>
          <w:bCs/>
          <w:color w:val="000000"/>
        </w:rPr>
        <w:t xml:space="preserve">goals and objectives, and challenges facing applicants and grantees, including any geographic differences in risks and approaches, </w:t>
      </w:r>
      <w:r w:rsidR="00D06027">
        <w:rPr>
          <w:bCs/>
          <w:color w:val="000000"/>
        </w:rPr>
        <w:t xml:space="preserve">engaging </w:t>
      </w:r>
      <w:r w:rsidRPr="008A1B0A">
        <w:rPr>
          <w:bCs/>
          <w:color w:val="000000"/>
        </w:rPr>
        <w:t xml:space="preserve">key stakeholders and partners initiatives, and the policy landscape. </w:t>
      </w:r>
      <w:r w:rsidRPr="008A1B0A">
        <w:rPr>
          <w:bCs/>
          <w:i/>
          <w:iCs/>
          <w:color w:val="000000"/>
        </w:rPr>
        <w:t>Weight: 20</w:t>
      </w:r>
      <w:r w:rsidR="00887B17">
        <w:rPr>
          <w:bCs/>
          <w:i/>
          <w:iCs/>
          <w:color w:val="000000"/>
        </w:rPr>
        <w:t>%</w:t>
      </w:r>
    </w:p>
    <w:p w14:paraId="687794DD" w14:textId="77777777" w:rsidR="00887B17" w:rsidRPr="00881557" w:rsidRDefault="00887B17" w:rsidP="00881557">
      <w:pPr>
        <w:pStyle w:val="NoSpacing"/>
        <w:ind w:left="720"/>
        <w:rPr>
          <w:bCs/>
          <w:color w:val="000000"/>
          <w:sz w:val="16"/>
          <w:szCs w:val="16"/>
        </w:rPr>
      </w:pPr>
    </w:p>
    <w:p w14:paraId="1A86B055" w14:textId="4F606C13" w:rsidR="008A1B0A" w:rsidRPr="00887B17" w:rsidRDefault="008A1B0A" w:rsidP="00881557">
      <w:pPr>
        <w:pStyle w:val="NoSpacing"/>
        <w:numPr>
          <w:ilvl w:val="0"/>
          <w:numId w:val="9"/>
        </w:numPr>
        <w:rPr>
          <w:bCs/>
          <w:color w:val="000000"/>
        </w:rPr>
      </w:pPr>
      <w:r w:rsidRPr="008A1B0A">
        <w:rPr>
          <w:b/>
          <w:color w:val="000000"/>
        </w:rPr>
        <w:t>Technical Approach.</w:t>
      </w:r>
      <w:r w:rsidRPr="008A1B0A">
        <w:rPr>
          <w:bCs/>
          <w:color w:val="000000"/>
        </w:rPr>
        <w:t xml:space="preserve"> Offeror should clearly describe their proposed technical approach for </w:t>
      </w:r>
      <w:r>
        <w:rPr>
          <w:bCs/>
          <w:color w:val="000000"/>
        </w:rPr>
        <w:t xml:space="preserve">facilitating </w:t>
      </w:r>
      <w:r w:rsidRPr="008A1B0A">
        <w:rPr>
          <w:bCs/>
          <w:color w:val="000000"/>
        </w:rPr>
        <w:t xml:space="preserve">the success of grant investments and overall program strategy and improvement. </w:t>
      </w:r>
      <w:r w:rsidRPr="008A1B0A">
        <w:rPr>
          <w:bCs/>
          <w:i/>
          <w:iCs/>
          <w:color w:val="000000"/>
        </w:rPr>
        <w:t>Weight: 20</w:t>
      </w:r>
      <w:r w:rsidR="00887B17">
        <w:rPr>
          <w:bCs/>
          <w:i/>
          <w:iCs/>
          <w:color w:val="000000"/>
        </w:rPr>
        <w:t>%</w:t>
      </w:r>
    </w:p>
    <w:p w14:paraId="411F0119" w14:textId="77777777" w:rsidR="00887B17" w:rsidRPr="00881557" w:rsidRDefault="00887B17" w:rsidP="00881557">
      <w:pPr>
        <w:pStyle w:val="NoSpacing"/>
        <w:rPr>
          <w:bCs/>
          <w:color w:val="000000"/>
          <w:sz w:val="16"/>
          <w:szCs w:val="16"/>
        </w:rPr>
      </w:pPr>
    </w:p>
    <w:p w14:paraId="484C6543" w14:textId="2C859D44" w:rsidR="008A1B0A" w:rsidRPr="00887B17" w:rsidRDefault="008A1B0A" w:rsidP="00881557">
      <w:pPr>
        <w:pStyle w:val="NoSpacing"/>
        <w:numPr>
          <w:ilvl w:val="0"/>
          <w:numId w:val="9"/>
        </w:numPr>
        <w:rPr>
          <w:bCs/>
          <w:color w:val="000000"/>
        </w:rPr>
      </w:pPr>
      <w:r w:rsidRPr="008A1B0A">
        <w:rPr>
          <w:b/>
          <w:color w:val="000000"/>
        </w:rPr>
        <w:lastRenderedPageBreak/>
        <w:t>Budget and Cost Effectiveness.</w:t>
      </w:r>
      <w:r w:rsidRPr="008A1B0A">
        <w:rPr>
          <w:bCs/>
          <w:color w:val="000000"/>
        </w:rPr>
        <w:t xml:space="preserve"> Preference will be given to Offerors who can provide high quality services at an affordable cost. </w:t>
      </w:r>
      <w:r w:rsidRPr="008A1B0A">
        <w:rPr>
          <w:bCs/>
          <w:i/>
          <w:iCs/>
          <w:color w:val="000000"/>
        </w:rPr>
        <w:t>Weight: 20%</w:t>
      </w:r>
    </w:p>
    <w:p w14:paraId="1CEF16FE" w14:textId="77777777" w:rsidR="00887B17" w:rsidRPr="00881557" w:rsidRDefault="00887B17" w:rsidP="00881557">
      <w:pPr>
        <w:pStyle w:val="NoSpacing"/>
        <w:rPr>
          <w:bCs/>
          <w:color w:val="000000"/>
          <w:sz w:val="16"/>
          <w:szCs w:val="16"/>
        </w:rPr>
      </w:pPr>
    </w:p>
    <w:p w14:paraId="6CC3CF9A" w14:textId="1108CED2" w:rsidR="00887B17" w:rsidRPr="00887B17" w:rsidRDefault="00887B17" w:rsidP="00881557">
      <w:pPr>
        <w:pStyle w:val="NoSpacing"/>
        <w:numPr>
          <w:ilvl w:val="0"/>
          <w:numId w:val="9"/>
        </w:numPr>
        <w:rPr>
          <w:bCs/>
          <w:color w:val="000000"/>
        </w:rPr>
      </w:pPr>
      <w:r>
        <w:rPr>
          <w:b/>
          <w:color w:val="000000"/>
        </w:rPr>
        <w:t>Qualifications</w:t>
      </w:r>
      <w:r w:rsidR="008A1B0A" w:rsidRPr="00887B17">
        <w:rPr>
          <w:b/>
          <w:color w:val="000000"/>
        </w:rPr>
        <w:t>.</w:t>
      </w:r>
      <w:r w:rsidR="008A1B0A" w:rsidRPr="008A1B0A">
        <w:rPr>
          <w:bCs/>
          <w:color w:val="000000"/>
        </w:rPr>
        <w:t xml:space="preserve"> Preference will be given to Offerors that bring a team with the training and experience detailed in the Qualifications section and the requisite experience necessary to successfully implement the Tasks detailed in the Scope of Work. Offerors must demonstrate they have sufficient staff and other resources, a degree of flexibility in how and where services are delivered, and an ability to tailor content and delivery methods to meet the specific needs of the </w:t>
      </w:r>
      <w:r>
        <w:rPr>
          <w:bCs/>
          <w:color w:val="000000"/>
        </w:rPr>
        <w:t>Central Appalachia and/or Chesapeake Bay Stewardship Fund</w:t>
      </w:r>
      <w:r w:rsidR="008A1B0A" w:rsidRPr="008A1B0A">
        <w:rPr>
          <w:bCs/>
          <w:color w:val="000000"/>
        </w:rPr>
        <w:t xml:space="preserve"> and key stakeholder groups. </w:t>
      </w:r>
      <w:r w:rsidR="008A1B0A" w:rsidRPr="00887B17">
        <w:rPr>
          <w:bCs/>
          <w:i/>
          <w:iCs/>
          <w:color w:val="000000"/>
        </w:rPr>
        <w:t>Weight: 20%</w:t>
      </w:r>
    </w:p>
    <w:p w14:paraId="19F30789" w14:textId="77777777" w:rsidR="00887B17" w:rsidRPr="00881557" w:rsidRDefault="00887B17" w:rsidP="00881557">
      <w:pPr>
        <w:pStyle w:val="NoSpacing"/>
        <w:rPr>
          <w:bCs/>
          <w:color w:val="000000"/>
          <w:sz w:val="16"/>
          <w:szCs w:val="16"/>
        </w:rPr>
      </w:pPr>
    </w:p>
    <w:p w14:paraId="07F5AB73" w14:textId="3118F53B" w:rsidR="008A1B0A" w:rsidRPr="00887B17" w:rsidRDefault="008A1B0A" w:rsidP="00881557">
      <w:pPr>
        <w:pStyle w:val="NoSpacing"/>
        <w:numPr>
          <w:ilvl w:val="0"/>
          <w:numId w:val="9"/>
        </w:numPr>
        <w:rPr>
          <w:bCs/>
          <w:color w:val="000000"/>
        </w:rPr>
      </w:pPr>
      <w:r w:rsidRPr="00887B17">
        <w:rPr>
          <w:b/>
          <w:color w:val="000000"/>
        </w:rPr>
        <w:t>Contractor’s Past Performance.</w:t>
      </w:r>
      <w:r w:rsidRPr="00887B17">
        <w:rPr>
          <w:bCs/>
          <w:color w:val="000000"/>
        </w:rPr>
        <w:t xml:space="preserve"> Offerors must demonstrate significant expertise and experience as exhibited by delivery of multiple directly relevant projects in areas described in this RFQ, in consideration of the quality of deliverables, timeliness, cost controls, and client references.  </w:t>
      </w:r>
      <w:r w:rsidRPr="00887B17">
        <w:rPr>
          <w:bCs/>
          <w:i/>
          <w:iCs/>
          <w:color w:val="000000"/>
        </w:rPr>
        <w:t>Weight: 20%</w:t>
      </w:r>
    </w:p>
    <w:p w14:paraId="23A5CE4B" w14:textId="77777777" w:rsidR="008356AD" w:rsidRPr="00881557" w:rsidRDefault="008356AD" w:rsidP="00881557">
      <w:pPr>
        <w:pStyle w:val="NoSpacing"/>
        <w:rPr>
          <w:b/>
          <w:color w:val="000000"/>
          <w:sz w:val="16"/>
          <w:szCs w:val="16"/>
        </w:rPr>
      </w:pPr>
    </w:p>
    <w:p w14:paraId="58E24029" w14:textId="7C5633CF" w:rsidR="00520B15" w:rsidRPr="00887B17" w:rsidRDefault="008A53A5" w:rsidP="00881557">
      <w:pPr>
        <w:pStyle w:val="NoSpacing"/>
        <w:rPr>
          <w:b/>
          <w:color w:val="000000"/>
          <w:u w:val="single"/>
        </w:rPr>
      </w:pPr>
      <w:r w:rsidRPr="00887B17">
        <w:rPr>
          <w:b/>
          <w:color w:val="000000"/>
          <w:u w:val="single"/>
        </w:rPr>
        <w:t xml:space="preserve">ELIGIBLE </w:t>
      </w:r>
      <w:r w:rsidR="008B4839" w:rsidRPr="00887B17">
        <w:rPr>
          <w:b/>
          <w:color w:val="000000"/>
          <w:u w:val="single"/>
        </w:rPr>
        <w:t>OFFERORS</w:t>
      </w:r>
    </w:p>
    <w:p w14:paraId="313C5213" w14:textId="47CBD861" w:rsidR="00887B17" w:rsidRDefault="00535055" w:rsidP="00881557">
      <w:pPr>
        <w:spacing w:after="0" w:line="240" w:lineRule="auto"/>
        <w:contextualSpacing/>
        <w:rPr>
          <w:rFonts w:asciiTheme="minorHAnsi" w:eastAsiaTheme="minorHAnsi" w:hAnsiTheme="minorHAnsi" w:cs="Calibri"/>
          <w:color w:val="000000"/>
        </w:rPr>
      </w:pPr>
      <w:r w:rsidRPr="002A5748">
        <w:rPr>
          <w:rFonts w:asciiTheme="minorHAnsi" w:eastAsiaTheme="minorHAnsi" w:hAnsiTheme="minorHAnsi" w:cs="Calibri"/>
          <w:color w:val="000000"/>
        </w:rPr>
        <w:t xml:space="preserve">Eligible applicants include institutions of higher education, other nonprofits, commercial organizations, international organizations, and local, </w:t>
      </w:r>
      <w:r w:rsidR="00490AAD" w:rsidRPr="002A5748">
        <w:rPr>
          <w:rFonts w:asciiTheme="minorHAnsi" w:eastAsiaTheme="minorHAnsi" w:hAnsiTheme="minorHAnsi" w:cs="Calibri"/>
          <w:color w:val="000000"/>
        </w:rPr>
        <w:t>state,</w:t>
      </w:r>
      <w:r w:rsidRPr="002A5748">
        <w:rPr>
          <w:rFonts w:asciiTheme="minorHAnsi" w:eastAsiaTheme="minorHAnsi" w:hAnsiTheme="minorHAnsi" w:cs="Calibri"/>
          <w:color w:val="000000"/>
        </w:rPr>
        <w:t xml:space="preserve"> and </w:t>
      </w:r>
      <w:r w:rsidR="00887B17">
        <w:rPr>
          <w:rFonts w:asciiTheme="minorHAnsi" w:eastAsiaTheme="minorHAnsi" w:hAnsiTheme="minorHAnsi" w:cs="Calibri"/>
          <w:color w:val="000000"/>
        </w:rPr>
        <w:t>Tribal</w:t>
      </w:r>
      <w:r w:rsidRPr="002A5748">
        <w:rPr>
          <w:rFonts w:asciiTheme="minorHAnsi" w:eastAsiaTheme="minorHAnsi" w:hAnsiTheme="minorHAnsi" w:cs="Calibri"/>
          <w:color w:val="000000"/>
        </w:rPr>
        <w:t xml:space="preserve"> governments.</w:t>
      </w:r>
      <w:r w:rsidR="00887B17">
        <w:rPr>
          <w:rFonts w:asciiTheme="minorHAnsi" w:eastAsiaTheme="minorHAnsi" w:hAnsiTheme="minorHAnsi" w:cs="Calibri"/>
          <w:color w:val="000000"/>
        </w:rPr>
        <w:t xml:space="preserve"> </w:t>
      </w:r>
      <w:r w:rsidR="00887B17" w:rsidRPr="00887B17">
        <w:rPr>
          <w:rFonts w:asciiTheme="minorHAnsi" w:eastAsiaTheme="minorHAnsi" w:hAnsiTheme="minorHAnsi" w:cs="Calibri"/>
          <w:color w:val="000000"/>
        </w:rPr>
        <w:t>Small and minority businesses, and women's business enterprises are strongly encouraged to apply.</w:t>
      </w:r>
    </w:p>
    <w:p w14:paraId="7238DEBF" w14:textId="77777777" w:rsidR="00881557" w:rsidRPr="00881557" w:rsidRDefault="00881557" w:rsidP="00881557">
      <w:pPr>
        <w:spacing w:after="0" w:line="240" w:lineRule="auto"/>
        <w:contextualSpacing/>
        <w:rPr>
          <w:rFonts w:asciiTheme="minorHAnsi" w:eastAsiaTheme="minorHAnsi" w:hAnsiTheme="minorHAnsi" w:cs="Calibri"/>
          <w:color w:val="000000"/>
          <w:sz w:val="16"/>
          <w:szCs w:val="16"/>
        </w:rPr>
      </w:pPr>
    </w:p>
    <w:p w14:paraId="1903FBF3" w14:textId="13F1CF7D" w:rsidR="00887B17" w:rsidRPr="00887B17" w:rsidRDefault="00887B17" w:rsidP="00881557">
      <w:pPr>
        <w:pStyle w:val="NoSpacing"/>
        <w:rPr>
          <w:b/>
          <w:color w:val="000000"/>
          <w:u w:val="single"/>
        </w:rPr>
      </w:pPr>
      <w:r>
        <w:rPr>
          <w:b/>
          <w:color w:val="000000"/>
          <w:u w:val="single"/>
        </w:rPr>
        <w:t>SPECIAL TERMS AND CONDITIONS &amp; CONFLICT OF INTEREST STATEMENT</w:t>
      </w:r>
    </w:p>
    <w:p w14:paraId="41EC805C" w14:textId="3D10DB14" w:rsidR="00887B17" w:rsidRDefault="00887B17" w:rsidP="00881557">
      <w:pPr>
        <w:tabs>
          <w:tab w:val="num" w:pos="3960"/>
        </w:tabs>
        <w:spacing w:after="0" w:line="240" w:lineRule="auto"/>
        <w:ind w:left="720"/>
        <w:rPr>
          <w:rFonts w:asciiTheme="minorHAnsi" w:eastAsiaTheme="minorHAnsi" w:hAnsiTheme="minorHAnsi" w:cs="Calibri"/>
        </w:rPr>
      </w:pPr>
      <w:r w:rsidRPr="00887B17">
        <w:rPr>
          <w:rFonts w:asciiTheme="minorHAnsi" w:eastAsiaTheme="minorHAnsi" w:hAnsiTheme="minorHAnsi" w:cs="Calibri"/>
        </w:rPr>
        <w:t>By submitting a proposal in response to this solicitation, the offeror warrants and represents that it does not currently have any apparent or actual conflict of interest, as described herein.  In the event an offeror currently has, will have during the life of the contemplated contract, or becomes aware of an apparent or actual conflict of interest, in the event an award is made, the offeror must notify NFWF in writing in the proposal, or in subsequent correspondence (if the issue becomes known after the submission of the proposal) of such apparent or actual conflicts of interest, including organizational conflicts of interest.  Conflicts of interest include any relationship or matter which might place the contractor, the contractor’s employees, or the contractor’s subcontractors in a position of conflict, real or apparent, between their responsibilities under the award and any other outside interests, or otherwise.  Conflicts of interest may also include, but are not limited to, direct or indirect financial interests, close personal relationships, positions of trust in outside organizations, consideration of future employment arrangements with a different organization, or decision-making affecting the award that would cause a reasonable person with knowledge of the relevant facts to question the impartiality of the offeror, the offeror’s employees, or the offeror’s future subcontractors in the matter.  Upon receipt of such a notice, the NFWF Contracting Officer will determine if a conflict of interest exists and, if so, if there are any possible actions to be taken by the offeror to reduce or resolve the conflict.  Failure to resolve conflicts of interest in a manner that satisfies NFWF may result in the proposal not being selected for award.</w:t>
      </w:r>
    </w:p>
    <w:p w14:paraId="41C8527A" w14:textId="77777777" w:rsidR="00887B17" w:rsidRPr="00881557" w:rsidRDefault="00887B17" w:rsidP="00881557">
      <w:pPr>
        <w:tabs>
          <w:tab w:val="num" w:pos="3960"/>
        </w:tabs>
        <w:spacing w:after="0" w:line="240" w:lineRule="auto"/>
        <w:ind w:left="720"/>
        <w:rPr>
          <w:rFonts w:asciiTheme="minorHAnsi" w:eastAsiaTheme="minorHAnsi" w:hAnsiTheme="minorHAnsi" w:cs="Calibri"/>
          <w:sz w:val="16"/>
          <w:szCs w:val="16"/>
        </w:rPr>
      </w:pPr>
    </w:p>
    <w:p w14:paraId="29051EFE" w14:textId="4AB1500D" w:rsidR="00887B17" w:rsidRDefault="00887B17" w:rsidP="00881557">
      <w:pPr>
        <w:tabs>
          <w:tab w:val="num" w:pos="3960"/>
        </w:tabs>
        <w:spacing w:after="0" w:line="240" w:lineRule="auto"/>
        <w:ind w:left="720"/>
        <w:rPr>
          <w:rFonts w:asciiTheme="minorHAnsi" w:eastAsiaTheme="minorHAnsi" w:hAnsiTheme="minorHAnsi" w:cs="Calibri"/>
        </w:rPr>
      </w:pPr>
      <w:r w:rsidRPr="00887B17">
        <w:rPr>
          <w:rFonts w:asciiTheme="minorHAnsi" w:eastAsiaTheme="minorHAnsi" w:hAnsiTheme="minorHAnsi" w:cs="Calibri"/>
        </w:rPr>
        <w:t>By submitting a proposal in response to this solicitation, the Offeror warrants and represents that it is eligible for award of a Contract resulting from this solicitation and that it is not subject to any of the below circumstances:</w:t>
      </w:r>
    </w:p>
    <w:p w14:paraId="0F58EEFF" w14:textId="77777777" w:rsidR="00887B17" w:rsidRPr="00881557" w:rsidRDefault="00887B17" w:rsidP="00881557">
      <w:pPr>
        <w:tabs>
          <w:tab w:val="num" w:pos="3960"/>
        </w:tabs>
        <w:spacing w:after="0" w:line="240" w:lineRule="auto"/>
        <w:ind w:left="720"/>
        <w:rPr>
          <w:rFonts w:asciiTheme="minorHAnsi" w:eastAsiaTheme="minorHAnsi" w:hAnsiTheme="minorHAnsi" w:cs="Calibri"/>
          <w:sz w:val="16"/>
          <w:szCs w:val="16"/>
        </w:rPr>
      </w:pPr>
    </w:p>
    <w:p w14:paraId="4482BA62" w14:textId="5489CB0A" w:rsidR="00887B17" w:rsidRDefault="00887B17" w:rsidP="00881557">
      <w:pPr>
        <w:tabs>
          <w:tab w:val="num" w:pos="3960"/>
        </w:tabs>
        <w:spacing w:after="0" w:line="240" w:lineRule="auto"/>
        <w:ind w:left="720"/>
        <w:rPr>
          <w:rFonts w:asciiTheme="minorHAnsi" w:eastAsiaTheme="minorHAnsi" w:hAnsiTheme="minorHAnsi" w:cs="Calibri"/>
        </w:rPr>
      </w:pPr>
      <w:r w:rsidRPr="00887B17">
        <w:rPr>
          <w:rFonts w:asciiTheme="minorHAnsi" w:eastAsiaTheme="minorHAnsi" w:hAnsiTheme="minorHAnsi" w:cs="Calibri"/>
        </w:rPr>
        <w:t xml:space="preserve">Has any unpaid Federal tax liability that has been assessed, for which all judicial and administrative remedies have been exhausted or have lapsed, and that is not being paid in a timely manner pursuant to an Contract with the authority responsible for collecting the tax </w:t>
      </w:r>
      <w:r w:rsidRPr="00887B17">
        <w:rPr>
          <w:rFonts w:asciiTheme="minorHAnsi" w:eastAsiaTheme="minorHAnsi" w:hAnsiTheme="minorHAnsi" w:cs="Calibri"/>
        </w:rPr>
        <w:lastRenderedPageBreak/>
        <w:t>liability, where the awarding agency is aware of the unpaid tax liability, unless the agency has considered suspension or debarment of the corporation and made a determination that this further action is not necessary to protect the interests of the Government; or</w:t>
      </w:r>
    </w:p>
    <w:p w14:paraId="453F1C4B" w14:textId="77777777" w:rsidR="00887B17" w:rsidRPr="00881557" w:rsidRDefault="00887B17" w:rsidP="00881557">
      <w:pPr>
        <w:tabs>
          <w:tab w:val="num" w:pos="3960"/>
        </w:tabs>
        <w:spacing w:after="0" w:line="240" w:lineRule="auto"/>
        <w:ind w:left="720"/>
        <w:rPr>
          <w:rFonts w:asciiTheme="minorHAnsi" w:eastAsiaTheme="minorHAnsi" w:hAnsiTheme="minorHAnsi" w:cs="Calibri"/>
          <w:sz w:val="16"/>
          <w:szCs w:val="16"/>
        </w:rPr>
      </w:pPr>
    </w:p>
    <w:p w14:paraId="66351FB6" w14:textId="212D4509" w:rsidR="00887B17" w:rsidRDefault="00887B17" w:rsidP="00881557">
      <w:pPr>
        <w:tabs>
          <w:tab w:val="num" w:pos="3960"/>
        </w:tabs>
        <w:spacing w:after="0" w:line="240" w:lineRule="auto"/>
        <w:ind w:left="720"/>
        <w:rPr>
          <w:rFonts w:asciiTheme="minorHAnsi" w:eastAsiaTheme="minorHAnsi" w:hAnsiTheme="minorHAnsi" w:cs="Calibri"/>
        </w:rPr>
      </w:pPr>
      <w:r w:rsidRPr="00887B17">
        <w:rPr>
          <w:rFonts w:asciiTheme="minorHAnsi" w:eastAsiaTheme="minorHAnsi" w:hAnsiTheme="minorHAnsi" w:cs="Calibri"/>
        </w:rPr>
        <w:t>Was convicted (or had an officer or agent of such corporation acting on behalf of the corporation convicted) of a felony criminal violation under any Federal or State law within the preceding 24 months, where the awarding agency is aware of the conviction, unless the agency has considered suspension or debarment of the corporation and made a determination that this further action is not necessary to protect the interests of the Government; or</w:t>
      </w:r>
    </w:p>
    <w:p w14:paraId="60BE314D" w14:textId="77777777" w:rsidR="00887B17" w:rsidRPr="00881557" w:rsidRDefault="00887B17" w:rsidP="00881557">
      <w:pPr>
        <w:tabs>
          <w:tab w:val="num" w:pos="3960"/>
        </w:tabs>
        <w:spacing w:after="0" w:line="240" w:lineRule="auto"/>
        <w:ind w:left="720"/>
        <w:rPr>
          <w:rFonts w:asciiTheme="minorHAnsi" w:eastAsiaTheme="minorHAnsi" w:hAnsiTheme="minorHAnsi" w:cs="Calibri"/>
          <w:sz w:val="16"/>
          <w:szCs w:val="16"/>
        </w:rPr>
      </w:pPr>
    </w:p>
    <w:p w14:paraId="79F34501" w14:textId="4801E061" w:rsidR="00271431" w:rsidRDefault="00887B17" w:rsidP="00881557">
      <w:pPr>
        <w:tabs>
          <w:tab w:val="num" w:pos="3960"/>
        </w:tabs>
        <w:spacing w:after="0" w:line="240" w:lineRule="auto"/>
        <w:ind w:left="720"/>
        <w:rPr>
          <w:rFonts w:asciiTheme="minorHAnsi" w:eastAsiaTheme="minorHAnsi" w:hAnsiTheme="minorHAnsi" w:cs="Calibri"/>
        </w:rPr>
      </w:pPr>
      <w:r w:rsidRPr="00887B17">
        <w:rPr>
          <w:rFonts w:asciiTheme="minorHAnsi" w:eastAsiaTheme="minorHAnsi" w:hAnsiTheme="minorHAnsi" w:cs="Calibri"/>
        </w:rPr>
        <w:t xml:space="preserve">Is listed on the General Services Administration’s, government-wide System for Award Management Exclusions (SAM Exclusions), in accordance with the OMB guidelines at 2 C.F.R Part 180 that implement E.O.s 12549 (3 C.F.R., 1986 Comp., p. 189) and 12689 (3 C.F.R., 1989 Comp., p. 235), “Debarment and Suspension, ” or intends to enter into any subaward, contract or other Contract using funds provided by NFWF with any party listed on the SAM Exclusions in accordance with Executive Orders 12549 and 12689. The SAM Exclusions instructions can be found here: </w:t>
      </w:r>
      <w:hyperlink r:id="rId19" w:history="1">
        <w:r w:rsidRPr="00106306">
          <w:rPr>
            <w:rStyle w:val="Hyperlink"/>
            <w:rFonts w:asciiTheme="minorHAnsi" w:eastAsiaTheme="minorHAnsi" w:hAnsiTheme="minorHAnsi" w:cs="Calibri"/>
          </w:rPr>
          <w:t>https://www.sam.gov/SAM/</w:t>
        </w:r>
      </w:hyperlink>
      <w:r>
        <w:rPr>
          <w:rFonts w:asciiTheme="minorHAnsi" w:eastAsiaTheme="minorHAnsi" w:hAnsiTheme="minorHAnsi" w:cs="Calibri"/>
        </w:rPr>
        <w:t xml:space="preserve"> </w:t>
      </w:r>
    </w:p>
    <w:p w14:paraId="0B09BB4A" w14:textId="77777777" w:rsidR="00887B17" w:rsidRPr="00881557" w:rsidRDefault="00887B17" w:rsidP="00881557">
      <w:pPr>
        <w:tabs>
          <w:tab w:val="num" w:pos="3960"/>
        </w:tabs>
        <w:spacing w:after="0" w:line="240" w:lineRule="auto"/>
        <w:ind w:left="720"/>
        <w:rPr>
          <w:color w:val="000000"/>
          <w:sz w:val="16"/>
          <w:szCs w:val="16"/>
        </w:rPr>
      </w:pPr>
    </w:p>
    <w:p w14:paraId="36F58DA2" w14:textId="44BB2C1A" w:rsidR="009978CC" w:rsidRDefault="009978CC" w:rsidP="00881557">
      <w:pPr>
        <w:spacing w:after="0" w:line="240" w:lineRule="auto"/>
        <w:rPr>
          <w:b/>
          <w:caps/>
          <w:color w:val="000000"/>
          <w:u w:val="single"/>
        </w:rPr>
      </w:pPr>
      <w:r w:rsidRPr="00887B17">
        <w:rPr>
          <w:b/>
          <w:caps/>
          <w:color w:val="000000"/>
          <w:u w:val="single"/>
        </w:rPr>
        <w:t>RF</w:t>
      </w:r>
      <w:r w:rsidR="00887B17" w:rsidRPr="00887B17">
        <w:rPr>
          <w:b/>
          <w:caps/>
          <w:color w:val="000000"/>
          <w:u w:val="single"/>
        </w:rPr>
        <w:t>Q</w:t>
      </w:r>
      <w:r w:rsidRPr="00887B17">
        <w:rPr>
          <w:b/>
          <w:caps/>
          <w:color w:val="000000"/>
          <w:u w:val="single"/>
        </w:rPr>
        <w:t xml:space="preserve"> </w:t>
      </w:r>
      <w:r w:rsidR="003D4515" w:rsidRPr="00887B17">
        <w:rPr>
          <w:b/>
          <w:caps/>
          <w:color w:val="000000"/>
          <w:u w:val="single"/>
        </w:rPr>
        <w:t>DEADLINES</w:t>
      </w:r>
      <w:r w:rsidR="00A677B3" w:rsidRPr="00887B17">
        <w:rPr>
          <w:b/>
          <w:caps/>
          <w:color w:val="000000"/>
          <w:u w:val="single"/>
        </w:rPr>
        <w:t xml:space="preserve"> (subject to change)</w:t>
      </w:r>
    </w:p>
    <w:p w14:paraId="5B97B6A3" w14:textId="77777777" w:rsidR="004C0A57" w:rsidRPr="00887B17" w:rsidRDefault="004C0A57" w:rsidP="00881557">
      <w:pPr>
        <w:spacing w:after="0" w:line="240" w:lineRule="auto"/>
        <w:rPr>
          <w:b/>
          <w:caps/>
          <w:color w:val="000000"/>
          <w:u w:val="single"/>
        </w:rPr>
      </w:pPr>
    </w:p>
    <w:p w14:paraId="05473FD8" w14:textId="7F5AADD7" w:rsidR="00696C54" w:rsidRPr="00D93507" w:rsidRDefault="00887B17" w:rsidP="00881557">
      <w:pPr>
        <w:tabs>
          <w:tab w:val="num" w:pos="1980"/>
        </w:tabs>
        <w:spacing w:after="0" w:line="240" w:lineRule="auto"/>
        <w:ind w:left="1980" w:hanging="1620"/>
      </w:pPr>
      <w:r>
        <w:t>2</w:t>
      </w:r>
      <w:r w:rsidR="00D93507" w:rsidRPr="00D93507">
        <w:t>/</w:t>
      </w:r>
      <w:r w:rsidR="00D80A0C">
        <w:t>2</w:t>
      </w:r>
      <w:r w:rsidR="00D93507" w:rsidRPr="00D93507">
        <w:t>/</w:t>
      </w:r>
      <w:r w:rsidR="00535055" w:rsidRPr="00D93507">
        <w:t>20</w:t>
      </w:r>
      <w:r w:rsidR="00535055">
        <w:t>2</w:t>
      </w:r>
      <w:r>
        <w:t>3</w:t>
      </w:r>
      <w:r w:rsidR="00696C54" w:rsidRPr="00D93507">
        <w:tab/>
        <w:t xml:space="preserve">Request for </w:t>
      </w:r>
      <w:r w:rsidR="00D80A0C">
        <w:t>Proposals</w:t>
      </w:r>
      <w:r w:rsidR="00696C54" w:rsidRPr="00D93507">
        <w:t xml:space="preserve"> (RF</w:t>
      </w:r>
      <w:r w:rsidR="00D80A0C">
        <w:t>P</w:t>
      </w:r>
      <w:r w:rsidR="00696C54" w:rsidRPr="00D93507">
        <w:t>) released.</w:t>
      </w:r>
      <w:r w:rsidR="00EB1C31" w:rsidRPr="00D93507">
        <w:t xml:space="preserve"> Q&amp;A period begins. All questions of general interest will be answered </w:t>
      </w:r>
      <w:r w:rsidR="00724667" w:rsidRPr="00D93507">
        <w:t>publicly</w:t>
      </w:r>
      <w:r w:rsidR="00EB1C31" w:rsidRPr="00D93507">
        <w:t xml:space="preserve"> and must be received by </w:t>
      </w:r>
      <w:r>
        <w:t>February 1</w:t>
      </w:r>
      <w:r w:rsidR="004C0A57">
        <w:t>5</w:t>
      </w:r>
      <w:r w:rsidRPr="004C0A57">
        <w:rPr>
          <w:vertAlign w:val="superscript"/>
        </w:rPr>
        <w:t>th</w:t>
      </w:r>
      <w:r w:rsidR="004C0A57">
        <w:t>, 2023</w:t>
      </w:r>
      <w:r w:rsidR="00EB1C31" w:rsidRPr="00D93507">
        <w:t xml:space="preserve">. </w:t>
      </w:r>
    </w:p>
    <w:p w14:paraId="65B12E01" w14:textId="77777777" w:rsidR="00EB1C31" w:rsidRPr="00D93507" w:rsidRDefault="00EB1C31" w:rsidP="00881557">
      <w:pPr>
        <w:tabs>
          <w:tab w:val="num" w:pos="1980"/>
        </w:tabs>
        <w:spacing w:after="0" w:line="240" w:lineRule="auto"/>
        <w:ind w:left="1980" w:hanging="1620"/>
      </w:pPr>
    </w:p>
    <w:p w14:paraId="4884FBD8" w14:textId="5A5775BD" w:rsidR="00EB1C31" w:rsidRPr="00D93507" w:rsidRDefault="00887B17" w:rsidP="00881557">
      <w:pPr>
        <w:tabs>
          <w:tab w:val="num" w:pos="1980"/>
        </w:tabs>
        <w:spacing w:after="0" w:line="240" w:lineRule="auto"/>
        <w:ind w:left="1980" w:hanging="1620"/>
      </w:pPr>
      <w:r>
        <w:t>2</w:t>
      </w:r>
      <w:r w:rsidR="00D93507" w:rsidRPr="00D93507">
        <w:t>/</w:t>
      </w:r>
      <w:r>
        <w:t>1</w:t>
      </w:r>
      <w:r w:rsidR="004C0A57">
        <w:t>5</w:t>
      </w:r>
      <w:r w:rsidR="001B1160">
        <w:t>/202</w:t>
      </w:r>
      <w:r>
        <w:t>3</w:t>
      </w:r>
      <w:r w:rsidR="00EB1C31" w:rsidRPr="00D93507">
        <w:tab/>
        <w:t>Deadline for Questions. FAQ will be posted to this site within 24 hours.</w:t>
      </w:r>
    </w:p>
    <w:p w14:paraId="7BC8AF17" w14:textId="77777777" w:rsidR="00520B15" w:rsidRPr="00D93507" w:rsidRDefault="00E749E6" w:rsidP="00881557">
      <w:pPr>
        <w:tabs>
          <w:tab w:val="num" w:pos="1980"/>
        </w:tabs>
        <w:spacing w:after="0" w:line="240" w:lineRule="auto"/>
      </w:pPr>
      <w:r w:rsidRPr="00D93507">
        <w:t xml:space="preserve"> </w:t>
      </w:r>
      <w:r w:rsidR="00520B15" w:rsidRPr="00D93507">
        <w:t xml:space="preserve"> </w:t>
      </w:r>
    </w:p>
    <w:p w14:paraId="5CF1EF01" w14:textId="4FB2C0DE" w:rsidR="001A10DF" w:rsidRPr="00E875D6" w:rsidRDefault="004C0A57" w:rsidP="00D80A0C">
      <w:pPr>
        <w:tabs>
          <w:tab w:val="num" w:pos="1980"/>
        </w:tabs>
        <w:spacing w:after="0" w:line="240" w:lineRule="auto"/>
        <w:ind w:left="1980" w:hanging="1620"/>
        <w:rPr>
          <w:color w:val="000000" w:themeColor="text1"/>
        </w:rPr>
      </w:pPr>
      <w:r>
        <w:t>3</w:t>
      </w:r>
      <w:r w:rsidR="00E1394C">
        <w:t>/</w:t>
      </w:r>
      <w:r>
        <w:t>1</w:t>
      </w:r>
      <w:r w:rsidR="007D2198">
        <w:t>/202</w:t>
      </w:r>
      <w:r w:rsidR="00887B17">
        <w:t>3</w:t>
      </w:r>
      <w:r w:rsidR="003B4C0D" w:rsidRPr="00E875D6">
        <w:rPr>
          <w:color w:val="000000" w:themeColor="text1"/>
        </w:rPr>
        <w:tab/>
      </w:r>
      <w:r w:rsidR="00D80A0C">
        <w:rPr>
          <w:color w:val="000000" w:themeColor="text1"/>
        </w:rPr>
        <w:t>Proposals</w:t>
      </w:r>
      <w:r w:rsidR="004E2918" w:rsidRPr="00E875D6">
        <w:rPr>
          <w:color w:val="000000" w:themeColor="text1"/>
        </w:rPr>
        <w:t xml:space="preserve"> </w:t>
      </w:r>
      <w:r w:rsidR="003D4515" w:rsidRPr="00E875D6">
        <w:rPr>
          <w:color w:val="000000" w:themeColor="text1"/>
        </w:rPr>
        <w:t xml:space="preserve">must be received electronically as </w:t>
      </w:r>
      <w:r w:rsidR="00384421" w:rsidRPr="00E875D6">
        <w:rPr>
          <w:color w:val="000000" w:themeColor="text1"/>
        </w:rPr>
        <w:t>an email attachment</w:t>
      </w:r>
      <w:r w:rsidR="003D4515" w:rsidRPr="00E875D6">
        <w:rPr>
          <w:color w:val="000000" w:themeColor="text1"/>
        </w:rPr>
        <w:t xml:space="preserve"> by </w:t>
      </w:r>
      <w:r w:rsidR="00887B17">
        <w:rPr>
          <w:color w:val="000000" w:themeColor="text1"/>
        </w:rPr>
        <w:t xml:space="preserve">Joseph Toolan, Manager of Chesapeake Bay Programs, </w:t>
      </w:r>
      <w:hyperlink r:id="rId20" w:history="1">
        <w:r>
          <w:rPr>
            <w:rStyle w:val="Hyperlink"/>
          </w:rPr>
          <w:t>Joe.Toolan@NFWF.org</w:t>
        </w:r>
      </w:hyperlink>
      <w:r w:rsidR="00887B17">
        <w:rPr>
          <w:color w:val="000000" w:themeColor="text1"/>
        </w:rPr>
        <w:t xml:space="preserve"> </w:t>
      </w:r>
      <w:r w:rsidR="003D4515" w:rsidRPr="00E875D6">
        <w:rPr>
          <w:color w:val="000000" w:themeColor="text1"/>
        </w:rPr>
        <w:t xml:space="preserve">by </w:t>
      </w:r>
      <w:r w:rsidR="009978CC" w:rsidRPr="00887B17">
        <w:rPr>
          <w:b/>
          <w:bCs/>
          <w:color w:val="FF0000"/>
        </w:rPr>
        <w:t>11:00</w:t>
      </w:r>
      <w:r w:rsidR="0095069D" w:rsidRPr="00887B17">
        <w:rPr>
          <w:b/>
          <w:bCs/>
          <w:color w:val="FF0000"/>
        </w:rPr>
        <w:t xml:space="preserve"> </w:t>
      </w:r>
      <w:r w:rsidR="003D4515" w:rsidRPr="00887B17">
        <w:rPr>
          <w:b/>
          <w:bCs/>
          <w:color w:val="FF0000"/>
        </w:rPr>
        <w:t>PM</w:t>
      </w:r>
      <w:r w:rsidR="00C82D8E" w:rsidRPr="00887B17">
        <w:rPr>
          <w:b/>
          <w:bCs/>
          <w:color w:val="FF0000"/>
        </w:rPr>
        <w:t xml:space="preserve"> </w:t>
      </w:r>
      <w:r w:rsidR="009978CC" w:rsidRPr="00887B17">
        <w:rPr>
          <w:b/>
          <w:bCs/>
          <w:color w:val="FF0000"/>
        </w:rPr>
        <w:t>EDT</w:t>
      </w:r>
      <w:r w:rsidR="003D4515" w:rsidRPr="00E875D6">
        <w:rPr>
          <w:color w:val="000000" w:themeColor="text1"/>
        </w:rPr>
        <w:t>.</w:t>
      </w:r>
    </w:p>
    <w:p w14:paraId="486AD7B3" w14:textId="77777777" w:rsidR="001A10DF" w:rsidRPr="00E875D6" w:rsidRDefault="001A10DF" w:rsidP="00881557">
      <w:pPr>
        <w:tabs>
          <w:tab w:val="num" w:pos="1980"/>
        </w:tabs>
        <w:spacing w:after="0" w:line="240" w:lineRule="auto"/>
        <w:ind w:left="1980" w:hanging="1620"/>
        <w:rPr>
          <w:color w:val="000000" w:themeColor="text1"/>
        </w:rPr>
      </w:pPr>
    </w:p>
    <w:p w14:paraId="45E1BBCE" w14:textId="007D75C3" w:rsidR="004E2918" w:rsidRPr="00E875D6" w:rsidRDefault="001A10DF" w:rsidP="00881557">
      <w:pPr>
        <w:tabs>
          <w:tab w:val="num" w:pos="1980"/>
        </w:tabs>
        <w:spacing w:after="0" w:line="240" w:lineRule="auto"/>
        <w:ind w:left="1980" w:hanging="1620"/>
        <w:rPr>
          <w:color w:val="000000" w:themeColor="text1"/>
        </w:rPr>
      </w:pPr>
      <w:r w:rsidRPr="00E875D6">
        <w:rPr>
          <w:color w:val="000000" w:themeColor="text1"/>
        </w:rPr>
        <w:tab/>
      </w:r>
      <w:r w:rsidR="004E2918" w:rsidRPr="00E875D6">
        <w:rPr>
          <w:color w:val="000000" w:themeColor="text1"/>
        </w:rPr>
        <w:t xml:space="preserve">Statements must be provided in Word format or </w:t>
      </w:r>
      <w:r w:rsidR="0095069D" w:rsidRPr="00E875D6">
        <w:rPr>
          <w:color w:val="000000" w:themeColor="text1"/>
        </w:rPr>
        <w:t>searchable</w:t>
      </w:r>
      <w:r w:rsidR="004E2918" w:rsidRPr="00E875D6">
        <w:rPr>
          <w:color w:val="000000" w:themeColor="text1"/>
        </w:rPr>
        <w:t xml:space="preserve"> PDF</w:t>
      </w:r>
      <w:r w:rsidRPr="00E875D6">
        <w:rPr>
          <w:color w:val="000000" w:themeColor="text1"/>
        </w:rPr>
        <w:t xml:space="preserve"> with a font size no smaller than 11 pt</w:t>
      </w:r>
      <w:r w:rsidR="004E2918" w:rsidRPr="00E875D6">
        <w:rPr>
          <w:color w:val="000000" w:themeColor="text1"/>
        </w:rPr>
        <w:t>.</w:t>
      </w:r>
      <w:r w:rsidR="007D2198">
        <w:rPr>
          <w:color w:val="000000" w:themeColor="text1"/>
        </w:rPr>
        <w:t xml:space="preserve"> </w:t>
      </w:r>
    </w:p>
    <w:p w14:paraId="7FEE9623" w14:textId="77777777" w:rsidR="004E2918" w:rsidRPr="00E875D6" w:rsidRDefault="004E2918" w:rsidP="00881557">
      <w:pPr>
        <w:tabs>
          <w:tab w:val="num" w:pos="1980"/>
        </w:tabs>
        <w:spacing w:after="0" w:line="240" w:lineRule="auto"/>
        <w:ind w:left="1980" w:hanging="1620"/>
        <w:rPr>
          <w:color w:val="000000" w:themeColor="text1"/>
        </w:rPr>
      </w:pPr>
    </w:p>
    <w:p w14:paraId="7F02C7C7" w14:textId="53A34F8B" w:rsidR="003D4515" w:rsidRPr="00D93507" w:rsidRDefault="004C0A57" w:rsidP="00881557">
      <w:pPr>
        <w:tabs>
          <w:tab w:val="num" w:pos="1980"/>
        </w:tabs>
        <w:spacing w:after="0" w:line="240" w:lineRule="auto"/>
        <w:ind w:left="1980" w:hanging="1620"/>
      </w:pPr>
      <w:r>
        <w:t>Week of 4</w:t>
      </w:r>
      <w:r w:rsidR="00D93507" w:rsidRPr="00D93507">
        <w:t>/</w:t>
      </w:r>
      <w:r>
        <w:t>3</w:t>
      </w:r>
      <w:r w:rsidR="00E1394C">
        <w:t>/2</w:t>
      </w:r>
      <w:r>
        <w:t xml:space="preserve">3    </w:t>
      </w:r>
      <w:r w:rsidR="009978CC" w:rsidRPr="00D93507">
        <w:t xml:space="preserve">NFWF will notify all RFQ </w:t>
      </w:r>
      <w:r w:rsidR="0058229F" w:rsidRPr="00D93507">
        <w:t>o</w:t>
      </w:r>
      <w:r w:rsidR="009978CC" w:rsidRPr="00D93507">
        <w:t xml:space="preserve">fferors of their status and successful </w:t>
      </w:r>
      <w:r w:rsidR="0058229F" w:rsidRPr="00D93507">
        <w:t>o</w:t>
      </w:r>
      <w:r w:rsidR="009978CC" w:rsidRPr="00D93507">
        <w:t xml:space="preserve">fferors will be </w:t>
      </w:r>
      <w:r w:rsidR="00587968" w:rsidRPr="00D93507">
        <w:t>either invited to interview or to complete a scope of work and budget</w:t>
      </w:r>
      <w:r w:rsidR="00B011F8" w:rsidRPr="00D93507">
        <w:t>.</w:t>
      </w:r>
    </w:p>
    <w:p w14:paraId="088FC536" w14:textId="77777777" w:rsidR="006E636C" w:rsidRPr="00D93507" w:rsidRDefault="006E636C" w:rsidP="00881557">
      <w:pPr>
        <w:tabs>
          <w:tab w:val="num" w:pos="1980"/>
        </w:tabs>
        <w:spacing w:after="0" w:line="240" w:lineRule="auto"/>
      </w:pPr>
    </w:p>
    <w:p w14:paraId="0E8D5907" w14:textId="543DE17A" w:rsidR="006E636C" w:rsidRDefault="004C0A57" w:rsidP="00881557">
      <w:pPr>
        <w:autoSpaceDE w:val="0"/>
        <w:autoSpaceDN w:val="0"/>
        <w:adjustRightInd w:val="0"/>
        <w:spacing w:after="0" w:line="240" w:lineRule="auto"/>
        <w:ind w:left="2160" w:hanging="1800"/>
        <w:rPr>
          <w:color w:val="000000"/>
        </w:rPr>
      </w:pPr>
      <w:r>
        <w:t>4</w:t>
      </w:r>
      <w:r w:rsidR="00587968" w:rsidRPr="00D93507">
        <w:t>/</w:t>
      </w:r>
      <w:r>
        <w:t>10</w:t>
      </w:r>
      <w:r w:rsidR="00587968" w:rsidRPr="00D93507">
        <w:t>/</w:t>
      </w:r>
      <w:r w:rsidR="00E1394C" w:rsidRPr="00D93507">
        <w:t>20</w:t>
      </w:r>
      <w:r w:rsidR="00E1394C">
        <w:t>2</w:t>
      </w:r>
      <w:r>
        <w:t>3</w:t>
      </w:r>
      <w:r w:rsidR="00E1394C" w:rsidRPr="00D93507">
        <w:t xml:space="preserve">           </w:t>
      </w:r>
      <w:r>
        <w:t xml:space="preserve">  </w:t>
      </w:r>
      <w:r w:rsidR="00587968">
        <w:rPr>
          <w:color w:val="000000"/>
        </w:rPr>
        <w:t>Contractor</w:t>
      </w:r>
      <w:r w:rsidR="006E636C" w:rsidRPr="00E875D6">
        <w:rPr>
          <w:color w:val="000000"/>
        </w:rPr>
        <w:t>s</w:t>
      </w:r>
      <w:r w:rsidR="00587968">
        <w:rPr>
          <w:color w:val="000000"/>
        </w:rPr>
        <w:t xml:space="preserve">’ anticipated </w:t>
      </w:r>
      <w:r w:rsidR="006E636C" w:rsidRPr="00E875D6">
        <w:rPr>
          <w:color w:val="000000"/>
        </w:rPr>
        <w:t>start date.</w:t>
      </w:r>
    </w:p>
    <w:p w14:paraId="64FFE41A" w14:textId="77777777" w:rsidR="00881557" w:rsidRPr="00881557" w:rsidRDefault="00881557" w:rsidP="00881557">
      <w:pPr>
        <w:autoSpaceDE w:val="0"/>
        <w:autoSpaceDN w:val="0"/>
        <w:adjustRightInd w:val="0"/>
        <w:spacing w:after="0" w:line="240" w:lineRule="auto"/>
        <w:ind w:left="2160" w:hanging="1800"/>
        <w:rPr>
          <w:sz w:val="16"/>
          <w:szCs w:val="16"/>
        </w:rPr>
      </w:pPr>
    </w:p>
    <w:p w14:paraId="68659854" w14:textId="24E347ED" w:rsidR="004C0A57" w:rsidRDefault="004C0A57" w:rsidP="00881557">
      <w:pPr>
        <w:spacing w:after="0" w:line="240" w:lineRule="auto"/>
      </w:pPr>
      <w:r>
        <w:rPr>
          <w:b/>
          <w:u w:val="single"/>
        </w:rPr>
        <w:t>REQUESTING ORGANIZATION</w:t>
      </w:r>
      <w:r w:rsidR="00E6629C" w:rsidRPr="00E875D6">
        <w:rPr>
          <w:b/>
        </w:rPr>
        <w:t>:</w:t>
      </w:r>
      <w:r w:rsidR="00E6629C" w:rsidRPr="00E875D6">
        <w:t xml:space="preserve">  National Fish and Wildlife Foundation, 1133 15</w:t>
      </w:r>
      <w:r w:rsidR="00E6629C" w:rsidRPr="00E875D6">
        <w:rPr>
          <w:vertAlign w:val="superscript"/>
        </w:rPr>
        <w:t>th</w:t>
      </w:r>
      <w:r w:rsidR="00E6629C" w:rsidRPr="00E875D6">
        <w:t xml:space="preserve"> Street NW, Suite 1</w:t>
      </w:r>
      <w:r>
        <w:t>0</w:t>
      </w:r>
      <w:r w:rsidR="00E6629C" w:rsidRPr="00E875D6">
        <w:t>00, Washington, DC 20005</w:t>
      </w:r>
      <w:r w:rsidR="00881557">
        <w:t>.</w:t>
      </w:r>
    </w:p>
    <w:p w14:paraId="3E4B11A2" w14:textId="77777777" w:rsidR="00881557" w:rsidRPr="00881557" w:rsidRDefault="00881557" w:rsidP="00881557">
      <w:pPr>
        <w:spacing w:after="0" w:line="240" w:lineRule="auto"/>
        <w:rPr>
          <w:sz w:val="16"/>
          <w:szCs w:val="16"/>
        </w:rPr>
      </w:pPr>
    </w:p>
    <w:p w14:paraId="607206BD" w14:textId="63C8665E" w:rsidR="004C0A57" w:rsidRPr="004C0A57" w:rsidRDefault="00E6629C" w:rsidP="00881557">
      <w:pPr>
        <w:spacing w:line="240" w:lineRule="auto"/>
      </w:pPr>
      <w:r w:rsidRPr="004C0A57">
        <w:rPr>
          <w:b/>
          <w:bCs/>
          <w:u w:val="single"/>
        </w:rPr>
        <w:t>C</w:t>
      </w:r>
      <w:r w:rsidR="004C0A57">
        <w:rPr>
          <w:b/>
          <w:bCs/>
          <w:u w:val="single"/>
        </w:rPr>
        <w:t>ONTACT</w:t>
      </w:r>
      <w:r w:rsidRPr="00E875D6">
        <w:t xml:space="preserve">: </w:t>
      </w:r>
      <w:r w:rsidR="004C0A57">
        <w:t>Joe Toolan</w:t>
      </w:r>
      <w:r w:rsidRPr="004C56BF">
        <w:t xml:space="preserve">, Manager of Chesapeake </w:t>
      </w:r>
      <w:r w:rsidR="004C0A57">
        <w:t xml:space="preserve">Bay </w:t>
      </w:r>
      <w:r w:rsidRPr="004C56BF">
        <w:t xml:space="preserve">Programs, </w:t>
      </w:r>
      <w:r w:rsidR="004C0A57">
        <w:t>(</w:t>
      </w:r>
      <w:r>
        <w:t>202</w:t>
      </w:r>
      <w:r w:rsidR="004C0A57">
        <w:t xml:space="preserve">) 888-1677, </w:t>
      </w:r>
      <w:hyperlink r:id="rId21" w:history="1">
        <w:r w:rsidR="004C0A57" w:rsidRPr="00106306">
          <w:rPr>
            <w:rStyle w:val="Hyperlink"/>
          </w:rPr>
          <w:t>Joe.Toolan@NFWF.org</w:t>
        </w:r>
      </w:hyperlink>
      <w:r w:rsidR="004C0A57">
        <w:t xml:space="preserve"> </w:t>
      </w:r>
    </w:p>
    <w:sectPr w:rsidR="004C0A57" w:rsidRPr="004C0A57" w:rsidSect="00FB07EB">
      <w:footerReference w:type="default" r:id="rId22"/>
      <w:pgSz w:w="12240" w:h="15840"/>
      <w:pgMar w:top="1440" w:right="1440" w:bottom="1440" w:left="1440" w:header="864"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e Toolan" w:date="2023-01-25T15:08:00Z" w:initials="JT">
    <w:p w14:paraId="66AC0415" w14:textId="77777777" w:rsidR="008A1B0A" w:rsidRDefault="008A1B0A" w:rsidP="00C90529">
      <w:pPr>
        <w:pStyle w:val="CommentText"/>
      </w:pPr>
      <w:r>
        <w:rPr>
          <w:rStyle w:val="CommentReference"/>
        </w:rPr>
        <w:annotationRef/>
      </w:r>
      <w:r>
        <w:t>Add link one RFQ is set up: BLAKE please use - Contractor Budget Template - Greater than $150K Profit Breakout - (10Tasks)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AC04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C467" w16cex:dateUtc="2023-01-25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AC0415" w16cid:durableId="277BC4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FC3F" w14:textId="77777777" w:rsidR="00DA32E3" w:rsidRDefault="00DA32E3" w:rsidP="00EA3BBC">
      <w:pPr>
        <w:spacing w:after="0" w:line="240" w:lineRule="auto"/>
      </w:pPr>
      <w:r>
        <w:separator/>
      </w:r>
    </w:p>
  </w:endnote>
  <w:endnote w:type="continuationSeparator" w:id="0">
    <w:p w14:paraId="1A1BFD45" w14:textId="77777777" w:rsidR="00DA32E3" w:rsidRDefault="00DA32E3" w:rsidP="00EA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rimson Text">
    <w:altName w:val="Times New Roman"/>
    <w:charset w:val="00"/>
    <w:family w:val="auto"/>
    <w:pitch w:val="default"/>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332061"/>
      <w:docPartObj>
        <w:docPartGallery w:val="Page Numbers (Bottom of Page)"/>
        <w:docPartUnique/>
      </w:docPartObj>
    </w:sdtPr>
    <w:sdtEndPr>
      <w:rPr>
        <w:noProof/>
      </w:rPr>
    </w:sdtEndPr>
    <w:sdtContent>
      <w:p w14:paraId="3CB66BD5" w14:textId="77777777" w:rsidR="003A1592" w:rsidRDefault="003A1592">
        <w:pPr>
          <w:pStyle w:val="Footer"/>
          <w:jc w:val="center"/>
        </w:pPr>
        <w:r>
          <w:fldChar w:fldCharType="begin"/>
        </w:r>
        <w:r>
          <w:instrText xml:space="preserve"> PAGE   \* MERGEFORMAT </w:instrText>
        </w:r>
        <w:r>
          <w:fldChar w:fldCharType="separate"/>
        </w:r>
        <w:r w:rsidR="006376B8">
          <w:rPr>
            <w:noProof/>
          </w:rPr>
          <w:t>5</w:t>
        </w:r>
        <w:r>
          <w:rPr>
            <w:noProof/>
          </w:rPr>
          <w:fldChar w:fldCharType="end"/>
        </w:r>
      </w:p>
    </w:sdtContent>
  </w:sdt>
  <w:p w14:paraId="3D53A5B8" w14:textId="77777777" w:rsidR="003A1592" w:rsidRDefault="003A1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AC3D" w14:textId="77777777" w:rsidR="00DA32E3" w:rsidRDefault="00DA32E3" w:rsidP="00EA3BBC">
      <w:pPr>
        <w:spacing w:after="0" w:line="240" w:lineRule="auto"/>
      </w:pPr>
      <w:r>
        <w:separator/>
      </w:r>
    </w:p>
  </w:footnote>
  <w:footnote w:type="continuationSeparator" w:id="0">
    <w:p w14:paraId="4D93ADB0" w14:textId="77777777" w:rsidR="00DA32E3" w:rsidRDefault="00DA32E3" w:rsidP="00EA3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3548"/>
    <w:multiLevelType w:val="hybridMultilevel"/>
    <w:tmpl w:val="6E5C2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0F62E6"/>
    <w:multiLevelType w:val="hybridMultilevel"/>
    <w:tmpl w:val="9FD4F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8796B"/>
    <w:multiLevelType w:val="hybridMultilevel"/>
    <w:tmpl w:val="53A8A822"/>
    <w:lvl w:ilvl="0" w:tplc="F49CBECC">
      <w:start w:val="4"/>
      <w:numFmt w:val="decimal"/>
      <w:lvlText w:val="%1."/>
      <w:lvlJc w:val="left"/>
      <w:pPr>
        <w:tabs>
          <w:tab w:val="num" w:pos="360"/>
        </w:tabs>
        <w:ind w:left="360" w:hanging="360"/>
      </w:pPr>
      <w:rPr>
        <w:rFonts w:hint="default"/>
      </w:rPr>
    </w:lvl>
    <w:lvl w:ilvl="1" w:tplc="CAAA82B8">
      <w:start w:val="1"/>
      <w:numFmt w:val="decimal"/>
      <w:lvlText w:val="%2."/>
      <w:lvlJc w:val="left"/>
      <w:pPr>
        <w:tabs>
          <w:tab w:val="num" w:pos="1080"/>
        </w:tabs>
        <w:ind w:left="1080" w:hanging="360"/>
      </w:pPr>
    </w:lvl>
    <w:lvl w:ilvl="2" w:tplc="59F0C970" w:tentative="1">
      <w:start w:val="1"/>
      <w:numFmt w:val="decimal"/>
      <w:lvlText w:val="%3."/>
      <w:lvlJc w:val="left"/>
      <w:pPr>
        <w:tabs>
          <w:tab w:val="num" w:pos="1800"/>
        </w:tabs>
        <w:ind w:left="1800" w:hanging="360"/>
      </w:pPr>
    </w:lvl>
    <w:lvl w:ilvl="3" w:tplc="84A06388" w:tentative="1">
      <w:start w:val="1"/>
      <w:numFmt w:val="decimal"/>
      <w:lvlText w:val="%4."/>
      <w:lvlJc w:val="left"/>
      <w:pPr>
        <w:tabs>
          <w:tab w:val="num" w:pos="2520"/>
        </w:tabs>
        <w:ind w:left="2520" w:hanging="360"/>
      </w:pPr>
    </w:lvl>
    <w:lvl w:ilvl="4" w:tplc="E8A478E0" w:tentative="1">
      <w:start w:val="1"/>
      <w:numFmt w:val="decimal"/>
      <w:lvlText w:val="%5."/>
      <w:lvlJc w:val="left"/>
      <w:pPr>
        <w:tabs>
          <w:tab w:val="num" w:pos="3240"/>
        </w:tabs>
        <w:ind w:left="3240" w:hanging="360"/>
      </w:pPr>
    </w:lvl>
    <w:lvl w:ilvl="5" w:tplc="8E26D570" w:tentative="1">
      <w:start w:val="1"/>
      <w:numFmt w:val="decimal"/>
      <w:lvlText w:val="%6."/>
      <w:lvlJc w:val="left"/>
      <w:pPr>
        <w:tabs>
          <w:tab w:val="num" w:pos="3960"/>
        </w:tabs>
        <w:ind w:left="3960" w:hanging="360"/>
      </w:pPr>
    </w:lvl>
    <w:lvl w:ilvl="6" w:tplc="C3567286" w:tentative="1">
      <w:start w:val="1"/>
      <w:numFmt w:val="decimal"/>
      <w:lvlText w:val="%7."/>
      <w:lvlJc w:val="left"/>
      <w:pPr>
        <w:tabs>
          <w:tab w:val="num" w:pos="4680"/>
        </w:tabs>
        <w:ind w:left="4680" w:hanging="360"/>
      </w:pPr>
    </w:lvl>
    <w:lvl w:ilvl="7" w:tplc="DF2079BC" w:tentative="1">
      <w:start w:val="1"/>
      <w:numFmt w:val="decimal"/>
      <w:lvlText w:val="%8."/>
      <w:lvlJc w:val="left"/>
      <w:pPr>
        <w:tabs>
          <w:tab w:val="num" w:pos="5400"/>
        </w:tabs>
        <w:ind w:left="5400" w:hanging="360"/>
      </w:pPr>
    </w:lvl>
    <w:lvl w:ilvl="8" w:tplc="BDE452D6" w:tentative="1">
      <w:start w:val="1"/>
      <w:numFmt w:val="decimal"/>
      <w:lvlText w:val="%9."/>
      <w:lvlJc w:val="left"/>
      <w:pPr>
        <w:tabs>
          <w:tab w:val="num" w:pos="6120"/>
        </w:tabs>
        <w:ind w:left="6120" w:hanging="360"/>
      </w:pPr>
    </w:lvl>
  </w:abstractNum>
  <w:abstractNum w:abstractNumId="3" w15:restartNumberingAfterBreak="0">
    <w:nsid w:val="33697CFF"/>
    <w:multiLevelType w:val="hybridMultilevel"/>
    <w:tmpl w:val="D5EE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D2A1A"/>
    <w:multiLevelType w:val="hybridMultilevel"/>
    <w:tmpl w:val="E36C2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97A80"/>
    <w:multiLevelType w:val="hybridMultilevel"/>
    <w:tmpl w:val="CD2E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6A1E5F"/>
    <w:multiLevelType w:val="hybridMultilevel"/>
    <w:tmpl w:val="9B523C48"/>
    <w:lvl w:ilvl="0" w:tplc="EFE60268">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A4471"/>
    <w:multiLevelType w:val="hybridMultilevel"/>
    <w:tmpl w:val="DF6A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852A9"/>
    <w:multiLevelType w:val="hybridMultilevel"/>
    <w:tmpl w:val="C5AE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4325800">
    <w:abstractNumId w:val="4"/>
  </w:num>
  <w:num w:numId="2" w16cid:durableId="114955799">
    <w:abstractNumId w:val="2"/>
  </w:num>
  <w:num w:numId="3" w16cid:durableId="202602428">
    <w:abstractNumId w:val="0"/>
  </w:num>
  <w:num w:numId="4" w16cid:durableId="2115053496">
    <w:abstractNumId w:val="8"/>
  </w:num>
  <w:num w:numId="5" w16cid:durableId="1294404290">
    <w:abstractNumId w:val="1"/>
  </w:num>
  <w:num w:numId="6" w16cid:durableId="1606766610">
    <w:abstractNumId w:val="5"/>
  </w:num>
  <w:num w:numId="7" w16cid:durableId="1896313499">
    <w:abstractNumId w:val="7"/>
  </w:num>
  <w:num w:numId="8" w16cid:durableId="1805780691">
    <w:abstractNumId w:val="6"/>
  </w:num>
  <w:num w:numId="9" w16cid:durableId="440538912">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e Toolan">
    <w15:presenceInfo w15:providerId="AD" w15:userId="S::Joe.Toolan@NFWF.ORG::4cf80890-9ad5-44cd-937f-7b85c3956c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A5"/>
    <w:rsid w:val="00000643"/>
    <w:rsid w:val="000011AC"/>
    <w:rsid w:val="00002E4D"/>
    <w:rsid w:val="00004295"/>
    <w:rsid w:val="00004336"/>
    <w:rsid w:val="00005BAB"/>
    <w:rsid w:val="00013289"/>
    <w:rsid w:val="000136F3"/>
    <w:rsid w:val="0002080C"/>
    <w:rsid w:val="00021745"/>
    <w:rsid w:val="00030363"/>
    <w:rsid w:val="000354B5"/>
    <w:rsid w:val="000377A3"/>
    <w:rsid w:val="00037DEE"/>
    <w:rsid w:val="000431DB"/>
    <w:rsid w:val="00046957"/>
    <w:rsid w:val="00056BFA"/>
    <w:rsid w:val="000577F3"/>
    <w:rsid w:val="0006003D"/>
    <w:rsid w:val="0007587E"/>
    <w:rsid w:val="000766A2"/>
    <w:rsid w:val="00081FC6"/>
    <w:rsid w:val="00086D0A"/>
    <w:rsid w:val="00087D57"/>
    <w:rsid w:val="0009091A"/>
    <w:rsid w:val="00090DC4"/>
    <w:rsid w:val="00091FE2"/>
    <w:rsid w:val="0009209A"/>
    <w:rsid w:val="0009514F"/>
    <w:rsid w:val="000A31A2"/>
    <w:rsid w:val="000A4AF7"/>
    <w:rsid w:val="000A4DEE"/>
    <w:rsid w:val="000A58D9"/>
    <w:rsid w:val="000B0940"/>
    <w:rsid w:val="000B141F"/>
    <w:rsid w:val="000B31C6"/>
    <w:rsid w:val="000B4A35"/>
    <w:rsid w:val="000B4B29"/>
    <w:rsid w:val="000C4F76"/>
    <w:rsid w:val="000D0F98"/>
    <w:rsid w:val="000D20C9"/>
    <w:rsid w:val="000E56BC"/>
    <w:rsid w:val="000E7EE8"/>
    <w:rsid w:val="000F0BE3"/>
    <w:rsid w:val="000F1FAA"/>
    <w:rsid w:val="000F5CE9"/>
    <w:rsid w:val="000F6CD3"/>
    <w:rsid w:val="0010137C"/>
    <w:rsid w:val="00112F5D"/>
    <w:rsid w:val="00125B7B"/>
    <w:rsid w:val="0013214C"/>
    <w:rsid w:val="00133205"/>
    <w:rsid w:val="001346AC"/>
    <w:rsid w:val="00146EB6"/>
    <w:rsid w:val="0015099F"/>
    <w:rsid w:val="001553C9"/>
    <w:rsid w:val="0016022E"/>
    <w:rsid w:val="0016129D"/>
    <w:rsid w:val="00167CA4"/>
    <w:rsid w:val="001730A5"/>
    <w:rsid w:val="001745DC"/>
    <w:rsid w:val="00174DF2"/>
    <w:rsid w:val="00176565"/>
    <w:rsid w:val="00182058"/>
    <w:rsid w:val="00183A81"/>
    <w:rsid w:val="0019270E"/>
    <w:rsid w:val="00196911"/>
    <w:rsid w:val="001A10D2"/>
    <w:rsid w:val="001A10DF"/>
    <w:rsid w:val="001A32F8"/>
    <w:rsid w:val="001A35FC"/>
    <w:rsid w:val="001A49E5"/>
    <w:rsid w:val="001B1160"/>
    <w:rsid w:val="001B28B3"/>
    <w:rsid w:val="001B75F4"/>
    <w:rsid w:val="001C12A3"/>
    <w:rsid w:val="001D0ECA"/>
    <w:rsid w:val="001E2F0B"/>
    <w:rsid w:val="001E357C"/>
    <w:rsid w:val="001E4146"/>
    <w:rsid w:val="001F12D6"/>
    <w:rsid w:val="001F18A0"/>
    <w:rsid w:val="001F237C"/>
    <w:rsid w:val="001F4108"/>
    <w:rsid w:val="001F60D5"/>
    <w:rsid w:val="001F68DF"/>
    <w:rsid w:val="002016AD"/>
    <w:rsid w:val="00203221"/>
    <w:rsid w:val="00203273"/>
    <w:rsid w:val="002035D3"/>
    <w:rsid w:val="002208A7"/>
    <w:rsid w:val="00232D28"/>
    <w:rsid w:val="002444E3"/>
    <w:rsid w:val="00260508"/>
    <w:rsid w:val="00260820"/>
    <w:rsid w:val="00264EFC"/>
    <w:rsid w:val="00271431"/>
    <w:rsid w:val="0027387F"/>
    <w:rsid w:val="002753E6"/>
    <w:rsid w:val="0028044E"/>
    <w:rsid w:val="00282385"/>
    <w:rsid w:val="0028617A"/>
    <w:rsid w:val="00292EA1"/>
    <w:rsid w:val="00293020"/>
    <w:rsid w:val="002A0458"/>
    <w:rsid w:val="002A1B5D"/>
    <w:rsid w:val="002A370F"/>
    <w:rsid w:val="002A5978"/>
    <w:rsid w:val="002A5ACB"/>
    <w:rsid w:val="002A7FDB"/>
    <w:rsid w:val="002B19D3"/>
    <w:rsid w:val="002B5C5A"/>
    <w:rsid w:val="002C03D8"/>
    <w:rsid w:val="002C122D"/>
    <w:rsid w:val="002C5B7C"/>
    <w:rsid w:val="002C64C9"/>
    <w:rsid w:val="002C7A39"/>
    <w:rsid w:val="002D025E"/>
    <w:rsid w:val="002D2A65"/>
    <w:rsid w:val="002D2A76"/>
    <w:rsid w:val="002D457A"/>
    <w:rsid w:val="002E156E"/>
    <w:rsid w:val="002E221C"/>
    <w:rsid w:val="002F443F"/>
    <w:rsid w:val="002F77A5"/>
    <w:rsid w:val="003000CB"/>
    <w:rsid w:val="003016C9"/>
    <w:rsid w:val="00303C03"/>
    <w:rsid w:val="00304FEF"/>
    <w:rsid w:val="00305594"/>
    <w:rsid w:val="0031379A"/>
    <w:rsid w:val="00313AC2"/>
    <w:rsid w:val="00314DC9"/>
    <w:rsid w:val="003169E3"/>
    <w:rsid w:val="00330CB6"/>
    <w:rsid w:val="003331C2"/>
    <w:rsid w:val="0034156B"/>
    <w:rsid w:val="00343373"/>
    <w:rsid w:val="003439C4"/>
    <w:rsid w:val="00344525"/>
    <w:rsid w:val="003506FB"/>
    <w:rsid w:val="003512C2"/>
    <w:rsid w:val="00354BF7"/>
    <w:rsid w:val="00361ABA"/>
    <w:rsid w:val="00361E33"/>
    <w:rsid w:val="00361F19"/>
    <w:rsid w:val="0036735F"/>
    <w:rsid w:val="0037479C"/>
    <w:rsid w:val="00374F6B"/>
    <w:rsid w:val="00381014"/>
    <w:rsid w:val="00384421"/>
    <w:rsid w:val="00386908"/>
    <w:rsid w:val="003870F0"/>
    <w:rsid w:val="00396EF1"/>
    <w:rsid w:val="003A1592"/>
    <w:rsid w:val="003A1C40"/>
    <w:rsid w:val="003A221B"/>
    <w:rsid w:val="003B4C0D"/>
    <w:rsid w:val="003B66F8"/>
    <w:rsid w:val="003B76CF"/>
    <w:rsid w:val="003C1E44"/>
    <w:rsid w:val="003C424B"/>
    <w:rsid w:val="003C537F"/>
    <w:rsid w:val="003D1025"/>
    <w:rsid w:val="003D1D11"/>
    <w:rsid w:val="003D3003"/>
    <w:rsid w:val="003D4515"/>
    <w:rsid w:val="003D4F5C"/>
    <w:rsid w:val="003D5AD8"/>
    <w:rsid w:val="003E2F51"/>
    <w:rsid w:val="003E359F"/>
    <w:rsid w:val="003F1A0E"/>
    <w:rsid w:val="003F24C7"/>
    <w:rsid w:val="003F3356"/>
    <w:rsid w:val="00401904"/>
    <w:rsid w:val="0040492F"/>
    <w:rsid w:val="00407A85"/>
    <w:rsid w:val="00411455"/>
    <w:rsid w:val="00414C84"/>
    <w:rsid w:val="0043702C"/>
    <w:rsid w:val="00440C4D"/>
    <w:rsid w:val="0044313A"/>
    <w:rsid w:val="004439D8"/>
    <w:rsid w:val="00444776"/>
    <w:rsid w:val="004455C1"/>
    <w:rsid w:val="004479C3"/>
    <w:rsid w:val="00450D47"/>
    <w:rsid w:val="00451552"/>
    <w:rsid w:val="00454030"/>
    <w:rsid w:val="00455300"/>
    <w:rsid w:val="00460476"/>
    <w:rsid w:val="00460B14"/>
    <w:rsid w:val="00466337"/>
    <w:rsid w:val="00466C71"/>
    <w:rsid w:val="00467056"/>
    <w:rsid w:val="00472DB5"/>
    <w:rsid w:val="00482B79"/>
    <w:rsid w:val="00483B27"/>
    <w:rsid w:val="004840AA"/>
    <w:rsid w:val="00490AAD"/>
    <w:rsid w:val="0049123E"/>
    <w:rsid w:val="00494886"/>
    <w:rsid w:val="00494DF4"/>
    <w:rsid w:val="00495CFF"/>
    <w:rsid w:val="00495F1A"/>
    <w:rsid w:val="004A28CE"/>
    <w:rsid w:val="004A4085"/>
    <w:rsid w:val="004A7E74"/>
    <w:rsid w:val="004B0200"/>
    <w:rsid w:val="004B40D7"/>
    <w:rsid w:val="004B4262"/>
    <w:rsid w:val="004C0A57"/>
    <w:rsid w:val="004C1423"/>
    <w:rsid w:val="004C479A"/>
    <w:rsid w:val="004C56BF"/>
    <w:rsid w:val="004C58E9"/>
    <w:rsid w:val="004C712C"/>
    <w:rsid w:val="004C753E"/>
    <w:rsid w:val="004D2882"/>
    <w:rsid w:val="004D431D"/>
    <w:rsid w:val="004D4942"/>
    <w:rsid w:val="004D5C6C"/>
    <w:rsid w:val="004D6891"/>
    <w:rsid w:val="004D7679"/>
    <w:rsid w:val="004D7BE4"/>
    <w:rsid w:val="004D7CF1"/>
    <w:rsid w:val="004E2918"/>
    <w:rsid w:val="004E7E03"/>
    <w:rsid w:val="004F36E6"/>
    <w:rsid w:val="004F419A"/>
    <w:rsid w:val="004F70E4"/>
    <w:rsid w:val="004F758A"/>
    <w:rsid w:val="00501417"/>
    <w:rsid w:val="00514434"/>
    <w:rsid w:val="0052015E"/>
    <w:rsid w:val="00520B15"/>
    <w:rsid w:val="00520F98"/>
    <w:rsid w:val="00521222"/>
    <w:rsid w:val="0052387F"/>
    <w:rsid w:val="00525381"/>
    <w:rsid w:val="00532602"/>
    <w:rsid w:val="00532A18"/>
    <w:rsid w:val="00532CC7"/>
    <w:rsid w:val="005347B0"/>
    <w:rsid w:val="00535055"/>
    <w:rsid w:val="00537698"/>
    <w:rsid w:val="00551CA2"/>
    <w:rsid w:val="00553E27"/>
    <w:rsid w:val="00566950"/>
    <w:rsid w:val="00567995"/>
    <w:rsid w:val="00570C5C"/>
    <w:rsid w:val="005710A4"/>
    <w:rsid w:val="00571FF2"/>
    <w:rsid w:val="00574D03"/>
    <w:rsid w:val="0057555E"/>
    <w:rsid w:val="00581CC3"/>
    <w:rsid w:val="0058229F"/>
    <w:rsid w:val="0058595E"/>
    <w:rsid w:val="00587968"/>
    <w:rsid w:val="00591738"/>
    <w:rsid w:val="00592612"/>
    <w:rsid w:val="005940F7"/>
    <w:rsid w:val="005B00AE"/>
    <w:rsid w:val="005C0C45"/>
    <w:rsid w:val="005C2258"/>
    <w:rsid w:val="005C6AD9"/>
    <w:rsid w:val="005D1EB8"/>
    <w:rsid w:val="005D4A4A"/>
    <w:rsid w:val="005D5B4D"/>
    <w:rsid w:val="005D6E7E"/>
    <w:rsid w:val="005E312C"/>
    <w:rsid w:val="005E3227"/>
    <w:rsid w:val="005F6598"/>
    <w:rsid w:val="005F78FF"/>
    <w:rsid w:val="00602A68"/>
    <w:rsid w:val="006113C2"/>
    <w:rsid w:val="006148C9"/>
    <w:rsid w:val="00615162"/>
    <w:rsid w:val="00615B41"/>
    <w:rsid w:val="006214B2"/>
    <w:rsid w:val="00622542"/>
    <w:rsid w:val="006335DA"/>
    <w:rsid w:val="00635BF1"/>
    <w:rsid w:val="006360D4"/>
    <w:rsid w:val="006376B8"/>
    <w:rsid w:val="00640F39"/>
    <w:rsid w:val="00642934"/>
    <w:rsid w:val="006432C3"/>
    <w:rsid w:val="006529B0"/>
    <w:rsid w:val="00657447"/>
    <w:rsid w:val="00662450"/>
    <w:rsid w:val="006650B3"/>
    <w:rsid w:val="00665ED0"/>
    <w:rsid w:val="00666554"/>
    <w:rsid w:val="0067058C"/>
    <w:rsid w:val="00671D36"/>
    <w:rsid w:val="00677A18"/>
    <w:rsid w:val="00681D72"/>
    <w:rsid w:val="0069572C"/>
    <w:rsid w:val="00696C54"/>
    <w:rsid w:val="006976ED"/>
    <w:rsid w:val="006A0B94"/>
    <w:rsid w:val="006A3FDA"/>
    <w:rsid w:val="006B0412"/>
    <w:rsid w:val="006B0FAA"/>
    <w:rsid w:val="006B1377"/>
    <w:rsid w:val="006B31CD"/>
    <w:rsid w:val="006B478F"/>
    <w:rsid w:val="006B6DE7"/>
    <w:rsid w:val="006B751C"/>
    <w:rsid w:val="006C0D4C"/>
    <w:rsid w:val="006C29F3"/>
    <w:rsid w:val="006C2A13"/>
    <w:rsid w:val="006C4788"/>
    <w:rsid w:val="006C6344"/>
    <w:rsid w:val="006C7F0B"/>
    <w:rsid w:val="006E2EE8"/>
    <w:rsid w:val="006E636C"/>
    <w:rsid w:val="006E6B4C"/>
    <w:rsid w:val="006F31D7"/>
    <w:rsid w:val="006F56E6"/>
    <w:rsid w:val="006F6E62"/>
    <w:rsid w:val="0070065D"/>
    <w:rsid w:val="0070515F"/>
    <w:rsid w:val="0071518D"/>
    <w:rsid w:val="00715636"/>
    <w:rsid w:val="00721B05"/>
    <w:rsid w:val="00724667"/>
    <w:rsid w:val="00727BBF"/>
    <w:rsid w:val="00731E9E"/>
    <w:rsid w:val="00732316"/>
    <w:rsid w:val="00734C69"/>
    <w:rsid w:val="00736D7E"/>
    <w:rsid w:val="00750EB5"/>
    <w:rsid w:val="00751BE5"/>
    <w:rsid w:val="0075424A"/>
    <w:rsid w:val="00756D1E"/>
    <w:rsid w:val="0076470C"/>
    <w:rsid w:val="00765F64"/>
    <w:rsid w:val="00771B5E"/>
    <w:rsid w:val="0077564D"/>
    <w:rsid w:val="00777259"/>
    <w:rsid w:val="0077766F"/>
    <w:rsid w:val="00777968"/>
    <w:rsid w:val="00780181"/>
    <w:rsid w:val="00783652"/>
    <w:rsid w:val="00784B08"/>
    <w:rsid w:val="007945E0"/>
    <w:rsid w:val="007968C8"/>
    <w:rsid w:val="00797CC4"/>
    <w:rsid w:val="007A10A5"/>
    <w:rsid w:val="007A4499"/>
    <w:rsid w:val="007A72F4"/>
    <w:rsid w:val="007B19D0"/>
    <w:rsid w:val="007B1FD8"/>
    <w:rsid w:val="007B51CC"/>
    <w:rsid w:val="007C55D4"/>
    <w:rsid w:val="007C58BF"/>
    <w:rsid w:val="007C72C7"/>
    <w:rsid w:val="007D2198"/>
    <w:rsid w:val="007D3B40"/>
    <w:rsid w:val="007D3D92"/>
    <w:rsid w:val="007D7B46"/>
    <w:rsid w:val="007D7D71"/>
    <w:rsid w:val="007E619E"/>
    <w:rsid w:val="007E79C1"/>
    <w:rsid w:val="007F097C"/>
    <w:rsid w:val="007F1288"/>
    <w:rsid w:val="007F2046"/>
    <w:rsid w:val="007F307C"/>
    <w:rsid w:val="007F6169"/>
    <w:rsid w:val="00801CBA"/>
    <w:rsid w:val="008028D6"/>
    <w:rsid w:val="00802A62"/>
    <w:rsid w:val="00804C65"/>
    <w:rsid w:val="00810B03"/>
    <w:rsid w:val="00815608"/>
    <w:rsid w:val="0082049F"/>
    <w:rsid w:val="00821AFC"/>
    <w:rsid w:val="008220BA"/>
    <w:rsid w:val="008249B0"/>
    <w:rsid w:val="00831879"/>
    <w:rsid w:val="008340EC"/>
    <w:rsid w:val="008356AD"/>
    <w:rsid w:val="00840DD8"/>
    <w:rsid w:val="00841FC5"/>
    <w:rsid w:val="00843FE4"/>
    <w:rsid w:val="008450A6"/>
    <w:rsid w:val="00845335"/>
    <w:rsid w:val="00846826"/>
    <w:rsid w:val="00847140"/>
    <w:rsid w:val="00847688"/>
    <w:rsid w:val="00851C0F"/>
    <w:rsid w:val="00853FE6"/>
    <w:rsid w:val="008619E0"/>
    <w:rsid w:val="00863E0E"/>
    <w:rsid w:val="00866857"/>
    <w:rsid w:val="00866D87"/>
    <w:rsid w:val="008716E9"/>
    <w:rsid w:val="00872672"/>
    <w:rsid w:val="00881557"/>
    <w:rsid w:val="00887974"/>
    <w:rsid w:val="00887B17"/>
    <w:rsid w:val="0089300B"/>
    <w:rsid w:val="008961A7"/>
    <w:rsid w:val="008A1B0A"/>
    <w:rsid w:val="008A4EB1"/>
    <w:rsid w:val="008A53A5"/>
    <w:rsid w:val="008B4839"/>
    <w:rsid w:val="008C6CD5"/>
    <w:rsid w:val="008D3D3F"/>
    <w:rsid w:val="008D4E57"/>
    <w:rsid w:val="008E1BBC"/>
    <w:rsid w:val="008E27A0"/>
    <w:rsid w:val="008E2A79"/>
    <w:rsid w:val="008E2BDC"/>
    <w:rsid w:val="008E4371"/>
    <w:rsid w:val="008E7101"/>
    <w:rsid w:val="008F266B"/>
    <w:rsid w:val="008F33F5"/>
    <w:rsid w:val="008F7772"/>
    <w:rsid w:val="00901A3A"/>
    <w:rsid w:val="00906994"/>
    <w:rsid w:val="009103B3"/>
    <w:rsid w:val="009112D7"/>
    <w:rsid w:val="00916D53"/>
    <w:rsid w:val="009179C8"/>
    <w:rsid w:val="00924227"/>
    <w:rsid w:val="0092491A"/>
    <w:rsid w:val="00925B4D"/>
    <w:rsid w:val="009327A6"/>
    <w:rsid w:val="00942DD5"/>
    <w:rsid w:val="00943BAF"/>
    <w:rsid w:val="00943DFF"/>
    <w:rsid w:val="0095069D"/>
    <w:rsid w:val="00951E03"/>
    <w:rsid w:val="0095243B"/>
    <w:rsid w:val="0095385F"/>
    <w:rsid w:val="009571CF"/>
    <w:rsid w:val="00960B81"/>
    <w:rsid w:val="00960E01"/>
    <w:rsid w:val="0096278E"/>
    <w:rsid w:val="009654F2"/>
    <w:rsid w:val="00967611"/>
    <w:rsid w:val="00967D97"/>
    <w:rsid w:val="00973DFC"/>
    <w:rsid w:val="00976D36"/>
    <w:rsid w:val="009859A5"/>
    <w:rsid w:val="009906F2"/>
    <w:rsid w:val="00990AE1"/>
    <w:rsid w:val="009931DA"/>
    <w:rsid w:val="009978CC"/>
    <w:rsid w:val="00997DC2"/>
    <w:rsid w:val="009A0BCD"/>
    <w:rsid w:val="009A17AC"/>
    <w:rsid w:val="009A1BE7"/>
    <w:rsid w:val="009A74BB"/>
    <w:rsid w:val="009B41D8"/>
    <w:rsid w:val="009B5C4B"/>
    <w:rsid w:val="009B7594"/>
    <w:rsid w:val="009C41DF"/>
    <w:rsid w:val="009D0527"/>
    <w:rsid w:val="009D197E"/>
    <w:rsid w:val="009D30F8"/>
    <w:rsid w:val="009D6761"/>
    <w:rsid w:val="009E09F3"/>
    <w:rsid w:val="009E188F"/>
    <w:rsid w:val="009F35E0"/>
    <w:rsid w:val="00A05511"/>
    <w:rsid w:val="00A07D58"/>
    <w:rsid w:val="00A125CE"/>
    <w:rsid w:val="00A13A2A"/>
    <w:rsid w:val="00A14E2F"/>
    <w:rsid w:val="00A15B91"/>
    <w:rsid w:val="00A170AF"/>
    <w:rsid w:val="00A21A66"/>
    <w:rsid w:val="00A21BE8"/>
    <w:rsid w:val="00A2636C"/>
    <w:rsid w:val="00A3159E"/>
    <w:rsid w:val="00A33D48"/>
    <w:rsid w:val="00A33D88"/>
    <w:rsid w:val="00A347B0"/>
    <w:rsid w:val="00A369DE"/>
    <w:rsid w:val="00A4065B"/>
    <w:rsid w:val="00A4103B"/>
    <w:rsid w:val="00A43A4F"/>
    <w:rsid w:val="00A45AEF"/>
    <w:rsid w:val="00A53548"/>
    <w:rsid w:val="00A608D5"/>
    <w:rsid w:val="00A64E08"/>
    <w:rsid w:val="00A66F21"/>
    <w:rsid w:val="00A677B3"/>
    <w:rsid w:val="00A70536"/>
    <w:rsid w:val="00A7093E"/>
    <w:rsid w:val="00A73039"/>
    <w:rsid w:val="00A735E3"/>
    <w:rsid w:val="00A73F14"/>
    <w:rsid w:val="00A743CB"/>
    <w:rsid w:val="00A82A24"/>
    <w:rsid w:val="00A93BDB"/>
    <w:rsid w:val="00A966BE"/>
    <w:rsid w:val="00AA14D6"/>
    <w:rsid w:val="00AA24D6"/>
    <w:rsid w:val="00AA4953"/>
    <w:rsid w:val="00AA75B3"/>
    <w:rsid w:val="00AB1A87"/>
    <w:rsid w:val="00AB2A23"/>
    <w:rsid w:val="00AB57E3"/>
    <w:rsid w:val="00AC1B79"/>
    <w:rsid w:val="00AC2B09"/>
    <w:rsid w:val="00AC344F"/>
    <w:rsid w:val="00AC4E6A"/>
    <w:rsid w:val="00AC609D"/>
    <w:rsid w:val="00AC7E9C"/>
    <w:rsid w:val="00AD1594"/>
    <w:rsid w:val="00AD6960"/>
    <w:rsid w:val="00AD7C86"/>
    <w:rsid w:val="00AE0548"/>
    <w:rsid w:val="00AE174C"/>
    <w:rsid w:val="00AE1845"/>
    <w:rsid w:val="00AE2A2D"/>
    <w:rsid w:val="00AE4FD9"/>
    <w:rsid w:val="00AF0A00"/>
    <w:rsid w:val="00AF2944"/>
    <w:rsid w:val="00AF6FB6"/>
    <w:rsid w:val="00AF76FA"/>
    <w:rsid w:val="00B011F8"/>
    <w:rsid w:val="00B01E88"/>
    <w:rsid w:val="00B02CEA"/>
    <w:rsid w:val="00B05AFC"/>
    <w:rsid w:val="00B077E8"/>
    <w:rsid w:val="00B162AD"/>
    <w:rsid w:val="00B177F1"/>
    <w:rsid w:val="00B21384"/>
    <w:rsid w:val="00B21854"/>
    <w:rsid w:val="00B24536"/>
    <w:rsid w:val="00B258A2"/>
    <w:rsid w:val="00B32044"/>
    <w:rsid w:val="00B43148"/>
    <w:rsid w:val="00B444B8"/>
    <w:rsid w:val="00B456F2"/>
    <w:rsid w:val="00B4732C"/>
    <w:rsid w:val="00B51B7C"/>
    <w:rsid w:val="00B570C2"/>
    <w:rsid w:val="00B6235E"/>
    <w:rsid w:val="00B64CD5"/>
    <w:rsid w:val="00B65C66"/>
    <w:rsid w:val="00B740C0"/>
    <w:rsid w:val="00B833D9"/>
    <w:rsid w:val="00B83671"/>
    <w:rsid w:val="00B84D1F"/>
    <w:rsid w:val="00B91357"/>
    <w:rsid w:val="00B92621"/>
    <w:rsid w:val="00B95383"/>
    <w:rsid w:val="00BA0B55"/>
    <w:rsid w:val="00BA2396"/>
    <w:rsid w:val="00BA6705"/>
    <w:rsid w:val="00BB0676"/>
    <w:rsid w:val="00BB2BF9"/>
    <w:rsid w:val="00BB3471"/>
    <w:rsid w:val="00BC0F07"/>
    <w:rsid w:val="00BC5392"/>
    <w:rsid w:val="00BC6A15"/>
    <w:rsid w:val="00BD5759"/>
    <w:rsid w:val="00BD6CA9"/>
    <w:rsid w:val="00BE1B05"/>
    <w:rsid w:val="00BE1FA3"/>
    <w:rsid w:val="00BE49D3"/>
    <w:rsid w:val="00BF0B12"/>
    <w:rsid w:val="00BF145B"/>
    <w:rsid w:val="00BF53F7"/>
    <w:rsid w:val="00BF5DC6"/>
    <w:rsid w:val="00C03A94"/>
    <w:rsid w:val="00C0557B"/>
    <w:rsid w:val="00C0687D"/>
    <w:rsid w:val="00C06D3F"/>
    <w:rsid w:val="00C06ECE"/>
    <w:rsid w:val="00C14CD7"/>
    <w:rsid w:val="00C23954"/>
    <w:rsid w:val="00C2758A"/>
    <w:rsid w:val="00C37F65"/>
    <w:rsid w:val="00C42967"/>
    <w:rsid w:val="00C44B68"/>
    <w:rsid w:val="00C44C1E"/>
    <w:rsid w:val="00C46607"/>
    <w:rsid w:val="00C5073D"/>
    <w:rsid w:val="00C53844"/>
    <w:rsid w:val="00C65509"/>
    <w:rsid w:val="00C75CB2"/>
    <w:rsid w:val="00C7639E"/>
    <w:rsid w:val="00C77185"/>
    <w:rsid w:val="00C82D8E"/>
    <w:rsid w:val="00C82F66"/>
    <w:rsid w:val="00C94D26"/>
    <w:rsid w:val="00C94E1A"/>
    <w:rsid w:val="00C97FC6"/>
    <w:rsid w:val="00CA156E"/>
    <w:rsid w:val="00CA1FFE"/>
    <w:rsid w:val="00CA2712"/>
    <w:rsid w:val="00CA3E08"/>
    <w:rsid w:val="00CA6B39"/>
    <w:rsid w:val="00CB5AD1"/>
    <w:rsid w:val="00CB60AD"/>
    <w:rsid w:val="00CC0895"/>
    <w:rsid w:val="00CC25B7"/>
    <w:rsid w:val="00CC6E80"/>
    <w:rsid w:val="00CD09A0"/>
    <w:rsid w:val="00CD653B"/>
    <w:rsid w:val="00CD7AA3"/>
    <w:rsid w:val="00CE2B0E"/>
    <w:rsid w:val="00CE3654"/>
    <w:rsid w:val="00CE5B13"/>
    <w:rsid w:val="00CF181A"/>
    <w:rsid w:val="00CF5810"/>
    <w:rsid w:val="00D00B92"/>
    <w:rsid w:val="00D03AA3"/>
    <w:rsid w:val="00D06027"/>
    <w:rsid w:val="00D16A15"/>
    <w:rsid w:val="00D2264C"/>
    <w:rsid w:val="00D26969"/>
    <w:rsid w:val="00D27B95"/>
    <w:rsid w:val="00D30394"/>
    <w:rsid w:val="00D304A6"/>
    <w:rsid w:val="00D3648B"/>
    <w:rsid w:val="00D41BDD"/>
    <w:rsid w:val="00D4397F"/>
    <w:rsid w:val="00D45568"/>
    <w:rsid w:val="00D459A9"/>
    <w:rsid w:val="00D501B7"/>
    <w:rsid w:val="00D6027D"/>
    <w:rsid w:val="00D60A46"/>
    <w:rsid w:val="00D67AD6"/>
    <w:rsid w:val="00D71F40"/>
    <w:rsid w:val="00D73315"/>
    <w:rsid w:val="00D76D6C"/>
    <w:rsid w:val="00D80A0C"/>
    <w:rsid w:val="00D8436D"/>
    <w:rsid w:val="00D86409"/>
    <w:rsid w:val="00D920B1"/>
    <w:rsid w:val="00D93507"/>
    <w:rsid w:val="00D978B2"/>
    <w:rsid w:val="00DA1965"/>
    <w:rsid w:val="00DA32E3"/>
    <w:rsid w:val="00DA7BAA"/>
    <w:rsid w:val="00DB07EF"/>
    <w:rsid w:val="00DB50C6"/>
    <w:rsid w:val="00DC27B3"/>
    <w:rsid w:val="00DC32D5"/>
    <w:rsid w:val="00DC7DE1"/>
    <w:rsid w:val="00DD4026"/>
    <w:rsid w:val="00DD4086"/>
    <w:rsid w:val="00DD4E95"/>
    <w:rsid w:val="00DE2F46"/>
    <w:rsid w:val="00DF28E9"/>
    <w:rsid w:val="00DF65A5"/>
    <w:rsid w:val="00DF6B4D"/>
    <w:rsid w:val="00DF7D0A"/>
    <w:rsid w:val="00E02E24"/>
    <w:rsid w:val="00E03ED4"/>
    <w:rsid w:val="00E05490"/>
    <w:rsid w:val="00E11218"/>
    <w:rsid w:val="00E13143"/>
    <w:rsid w:val="00E13244"/>
    <w:rsid w:val="00E1394C"/>
    <w:rsid w:val="00E162C5"/>
    <w:rsid w:val="00E20CA6"/>
    <w:rsid w:val="00E23C88"/>
    <w:rsid w:val="00E241D3"/>
    <w:rsid w:val="00E25C8B"/>
    <w:rsid w:val="00E27FED"/>
    <w:rsid w:val="00E36FB1"/>
    <w:rsid w:val="00E46A20"/>
    <w:rsid w:val="00E51191"/>
    <w:rsid w:val="00E541A6"/>
    <w:rsid w:val="00E54920"/>
    <w:rsid w:val="00E63B97"/>
    <w:rsid w:val="00E6629C"/>
    <w:rsid w:val="00E70727"/>
    <w:rsid w:val="00E7175E"/>
    <w:rsid w:val="00E749E6"/>
    <w:rsid w:val="00E76386"/>
    <w:rsid w:val="00E80703"/>
    <w:rsid w:val="00E81AD8"/>
    <w:rsid w:val="00E875D6"/>
    <w:rsid w:val="00E9184D"/>
    <w:rsid w:val="00EA3BBC"/>
    <w:rsid w:val="00EA6A1C"/>
    <w:rsid w:val="00EB1C31"/>
    <w:rsid w:val="00EB259E"/>
    <w:rsid w:val="00EB7FC7"/>
    <w:rsid w:val="00ED1D64"/>
    <w:rsid w:val="00ED2777"/>
    <w:rsid w:val="00ED31C8"/>
    <w:rsid w:val="00ED437C"/>
    <w:rsid w:val="00ED51E9"/>
    <w:rsid w:val="00ED582A"/>
    <w:rsid w:val="00ED6E65"/>
    <w:rsid w:val="00EE16E1"/>
    <w:rsid w:val="00EE1E73"/>
    <w:rsid w:val="00EE1FB4"/>
    <w:rsid w:val="00EE45BE"/>
    <w:rsid w:val="00EF3CEC"/>
    <w:rsid w:val="00EF6104"/>
    <w:rsid w:val="00EF7818"/>
    <w:rsid w:val="00EF7DEF"/>
    <w:rsid w:val="00F001BD"/>
    <w:rsid w:val="00F003C6"/>
    <w:rsid w:val="00F038DB"/>
    <w:rsid w:val="00F04294"/>
    <w:rsid w:val="00F11DB9"/>
    <w:rsid w:val="00F12CA0"/>
    <w:rsid w:val="00F131E8"/>
    <w:rsid w:val="00F30444"/>
    <w:rsid w:val="00F30EA4"/>
    <w:rsid w:val="00F320C7"/>
    <w:rsid w:val="00F328F3"/>
    <w:rsid w:val="00F3413A"/>
    <w:rsid w:val="00F51786"/>
    <w:rsid w:val="00F51A0F"/>
    <w:rsid w:val="00F51C62"/>
    <w:rsid w:val="00F6244B"/>
    <w:rsid w:val="00F635A5"/>
    <w:rsid w:val="00F678C8"/>
    <w:rsid w:val="00F774C1"/>
    <w:rsid w:val="00F77E60"/>
    <w:rsid w:val="00F8090C"/>
    <w:rsid w:val="00F81ABB"/>
    <w:rsid w:val="00F83125"/>
    <w:rsid w:val="00F85208"/>
    <w:rsid w:val="00F864F9"/>
    <w:rsid w:val="00F96C20"/>
    <w:rsid w:val="00FA41CA"/>
    <w:rsid w:val="00FA61B8"/>
    <w:rsid w:val="00FA6855"/>
    <w:rsid w:val="00FB07EB"/>
    <w:rsid w:val="00FB1452"/>
    <w:rsid w:val="00FB419C"/>
    <w:rsid w:val="00FB4DF4"/>
    <w:rsid w:val="00FB5044"/>
    <w:rsid w:val="00FC0587"/>
    <w:rsid w:val="00FC0955"/>
    <w:rsid w:val="00FC499A"/>
    <w:rsid w:val="00FC7E64"/>
    <w:rsid w:val="00FD3257"/>
    <w:rsid w:val="00FD3EFE"/>
    <w:rsid w:val="00FD740E"/>
    <w:rsid w:val="00FE2CDC"/>
    <w:rsid w:val="00FE313E"/>
    <w:rsid w:val="00FE6493"/>
    <w:rsid w:val="00FF0401"/>
    <w:rsid w:val="00FF19FD"/>
    <w:rsid w:val="00FF2D5A"/>
    <w:rsid w:val="00FF3F2D"/>
    <w:rsid w:val="00FF719E"/>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0BBCC"/>
  <w15:docId w15:val="{C9DA6272-5AB3-463F-B546-76CA1912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3A5"/>
    <w:pPr>
      <w:spacing w:after="200" w:line="276" w:lineRule="auto"/>
    </w:pPr>
    <w:rPr>
      <w:sz w:val="22"/>
      <w:szCs w:val="22"/>
    </w:rPr>
  </w:style>
  <w:style w:type="paragraph" w:styleId="Heading1">
    <w:name w:val="heading 1"/>
    <w:basedOn w:val="Normal"/>
    <w:link w:val="Heading1Char"/>
    <w:uiPriority w:val="9"/>
    <w:qFormat/>
    <w:rsid w:val="008A53A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5710A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A3B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53A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A53A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8A53A5"/>
    <w:rPr>
      <w:color w:val="0000FF"/>
      <w:u w:val="single"/>
    </w:rPr>
  </w:style>
  <w:style w:type="paragraph" w:styleId="NoSpacing">
    <w:name w:val="No Spacing"/>
    <w:uiPriority w:val="1"/>
    <w:qFormat/>
    <w:rsid w:val="008A53A5"/>
    <w:rPr>
      <w:sz w:val="22"/>
      <w:szCs w:val="22"/>
    </w:rPr>
  </w:style>
  <w:style w:type="character" w:styleId="CommentReference">
    <w:name w:val="annotation reference"/>
    <w:uiPriority w:val="99"/>
    <w:semiHidden/>
    <w:unhideWhenUsed/>
    <w:rsid w:val="008A53A5"/>
    <w:rPr>
      <w:sz w:val="16"/>
      <w:szCs w:val="16"/>
    </w:rPr>
  </w:style>
  <w:style w:type="paragraph" w:styleId="CommentText">
    <w:name w:val="annotation text"/>
    <w:basedOn w:val="Normal"/>
    <w:link w:val="CommentTextChar"/>
    <w:uiPriority w:val="99"/>
    <w:unhideWhenUsed/>
    <w:rsid w:val="008A53A5"/>
    <w:rPr>
      <w:sz w:val="20"/>
      <w:szCs w:val="20"/>
    </w:rPr>
  </w:style>
  <w:style w:type="character" w:customStyle="1" w:styleId="CommentTextChar">
    <w:name w:val="Comment Text Char"/>
    <w:link w:val="CommentText"/>
    <w:uiPriority w:val="99"/>
    <w:rsid w:val="008A53A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A53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53A5"/>
    <w:rPr>
      <w:rFonts w:ascii="Tahoma" w:eastAsia="Calibri" w:hAnsi="Tahoma" w:cs="Tahoma"/>
      <w:sz w:val="16"/>
      <w:szCs w:val="16"/>
    </w:rPr>
  </w:style>
  <w:style w:type="character" w:styleId="Emphasis">
    <w:name w:val="Emphasis"/>
    <w:uiPriority w:val="20"/>
    <w:qFormat/>
    <w:rsid w:val="00A53548"/>
    <w:rPr>
      <w:i/>
      <w:iCs/>
    </w:rPr>
  </w:style>
  <w:style w:type="character" w:customStyle="1" w:styleId="Heading2Char">
    <w:name w:val="Heading 2 Char"/>
    <w:link w:val="Heading2"/>
    <w:uiPriority w:val="9"/>
    <w:semiHidden/>
    <w:rsid w:val="005710A4"/>
    <w:rPr>
      <w:rFonts w:ascii="Cambria" w:eastAsia="Times New Roman" w:hAnsi="Cambria" w:cs="Times New Roman"/>
      <w:b/>
      <w:bCs/>
      <w:i/>
      <w:iCs/>
      <w:sz w:val="28"/>
      <w:szCs w:val="28"/>
    </w:rPr>
  </w:style>
  <w:style w:type="paragraph" w:styleId="CommentSubject">
    <w:name w:val="annotation subject"/>
    <w:basedOn w:val="CommentText"/>
    <w:next w:val="CommentText"/>
    <w:link w:val="CommentSubjectChar"/>
    <w:uiPriority w:val="99"/>
    <w:semiHidden/>
    <w:unhideWhenUsed/>
    <w:rsid w:val="00960B81"/>
    <w:rPr>
      <w:b/>
      <w:bCs/>
    </w:rPr>
  </w:style>
  <w:style w:type="character" w:customStyle="1" w:styleId="CommentSubjectChar">
    <w:name w:val="Comment Subject Char"/>
    <w:link w:val="CommentSubject"/>
    <w:uiPriority w:val="99"/>
    <w:semiHidden/>
    <w:rsid w:val="00960B81"/>
    <w:rPr>
      <w:rFonts w:ascii="Calibri" w:eastAsia="Calibri" w:hAnsi="Calibri" w:cs="Times New Roman"/>
      <w:b/>
      <w:bCs/>
      <w:sz w:val="20"/>
      <w:szCs w:val="20"/>
    </w:rPr>
  </w:style>
  <w:style w:type="paragraph" w:styleId="Revision">
    <w:name w:val="Revision"/>
    <w:hidden/>
    <w:uiPriority w:val="99"/>
    <w:semiHidden/>
    <w:rsid w:val="00960B81"/>
    <w:rPr>
      <w:sz w:val="22"/>
      <w:szCs w:val="22"/>
    </w:rPr>
  </w:style>
  <w:style w:type="character" w:styleId="FollowedHyperlink">
    <w:name w:val="FollowedHyperlink"/>
    <w:uiPriority w:val="99"/>
    <w:semiHidden/>
    <w:unhideWhenUsed/>
    <w:rsid w:val="00831879"/>
    <w:rPr>
      <w:color w:val="800080"/>
      <w:u w:val="single"/>
    </w:rPr>
  </w:style>
  <w:style w:type="paragraph" w:styleId="ListParagraph">
    <w:name w:val="List Paragraph"/>
    <w:basedOn w:val="Normal"/>
    <w:uiPriority w:val="34"/>
    <w:qFormat/>
    <w:rsid w:val="00D6027D"/>
    <w:pPr>
      <w:ind w:left="720"/>
      <w:contextualSpacing/>
    </w:pPr>
    <w:rPr>
      <w:rFonts w:eastAsiaTheme="minorHAnsi" w:cs="Calibri"/>
    </w:rPr>
  </w:style>
  <w:style w:type="character" w:customStyle="1" w:styleId="Heading3Char">
    <w:name w:val="Heading 3 Char"/>
    <w:basedOn w:val="DefaultParagraphFont"/>
    <w:link w:val="Heading3"/>
    <w:uiPriority w:val="9"/>
    <w:rsid w:val="00EA3BBC"/>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unhideWhenUsed/>
    <w:rsid w:val="00EA3BB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A3BBC"/>
    <w:rPr>
      <w:rFonts w:ascii="Times New Roman" w:eastAsia="Times New Roman" w:hAnsi="Times New Roman"/>
    </w:rPr>
  </w:style>
  <w:style w:type="character" w:styleId="FootnoteReference">
    <w:name w:val="footnote reference"/>
    <w:uiPriority w:val="99"/>
    <w:unhideWhenUsed/>
    <w:rsid w:val="00EA3BBC"/>
    <w:rPr>
      <w:vertAlign w:val="superscript"/>
    </w:rPr>
  </w:style>
  <w:style w:type="paragraph" w:styleId="Caption">
    <w:name w:val="caption"/>
    <w:basedOn w:val="Normal"/>
    <w:next w:val="Normal"/>
    <w:uiPriority w:val="35"/>
    <w:unhideWhenUsed/>
    <w:qFormat/>
    <w:rsid w:val="00EA3BBC"/>
    <w:pPr>
      <w:spacing w:line="240" w:lineRule="auto"/>
    </w:pPr>
    <w:rPr>
      <w:b/>
      <w:bCs/>
      <w:color w:val="4F81BD"/>
      <w:sz w:val="18"/>
      <w:szCs w:val="18"/>
    </w:rPr>
  </w:style>
  <w:style w:type="paragraph" w:styleId="Header">
    <w:name w:val="header"/>
    <w:basedOn w:val="Normal"/>
    <w:link w:val="HeaderChar"/>
    <w:uiPriority w:val="99"/>
    <w:unhideWhenUsed/>
    <w:rsid w:val="001F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37C"/>
    <w:rPr>
      <w:sz w:val="22"/>
      <w:szCs w:val="22"/>
    </w:rPr>
  </w:style>
  <w:style w:type="paragraph" w:styleId="Footer">
    <w:name w:val="footer"/>
    <w:basedOn w:val="Normal"/>
    <w:link w:val="FooterChar"/>
    <w:uiPriority w:val="99"/>
    <w:unhideWhenUsed/>
    <w:rsid w:val="001F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7C"/>
    <w:rPr>
      <w:sz w:val="22"/>
      <w:szCs w:val="22"/>
    </w:rPr>
  </w:style>
  <w:style w:type="paragraph" w:customStyle="1" w:styleId="Default">
    <w:name w:val="Default"/>
    <w:rsid w:val="007E619E"/>
    <w:pPr>
      <w:autoSpaceDE w:val="0"/>
      <w:autoSpaceDN w:val="0"/>
      <w:adjustRightInd w:val="0"/>
    </w:pPr>
    <w:rPr>
      <w:rFonts w:cs="Calibri"/>
      <w:color w:val="000000"/>
      <w:sz w:val="24"/>
      <w:szCs w:val="24"/>
    </w:rPr>
  </w:style>
  <w:style w:type="paragraph" w:customStyle="1" w:styleId="ms-rteelement-p">
    <w:name w:val="ms-rteelement-p"/>
    <w:basedOn w:val="Normal"/>
    <w:rsid w:val="00535055"/>
    <w:pPr>
      <w:spacing w:before="100" w:beforeAutospacing="1" w:after="100" w:afterAutospacing="1" w:line="240" w:lineRule="auto"/>
      <w:ind w:right="450"/>
    </w:pPr>
    <w:rPr>
      <w:rFonts w:ascii="Crimson Text" w:eastAsia="Times New Roman" w:hAnsi="Crimson Text"/>
      <w:color w:val="000000"/>
      <w:sz w:val="24"/>
      <w:szCs w:val="24"/>
    </w:rPr>
  </w:style>
  <w:style w:type="character" w:styleId="UnresolvedMention">
    <w:name w:val="Unresolved Mention"/>
    <w:basedOn w:val="DefaultParagraphFont"/>
    <w:uiPriority w:val="99"/>
    <w:semiHidden/>
    <w:unhideWhenUsed/>
    <w:rsid w:val="00D71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3681">
      <w:bodyDiv w:val="1"/>
      <w:marLeft w:val="0"/>
      <w:marRight w:val="0"/>
      <w:marTop w:val="0"/>
      <w:marBottom w:val="0"/>
      <w:divBdr>
        <w:top w:val="none" w:sz="0" w:space="0" w:color="auto"/>
        <w:left w:val="none" w:sz="0" w:space="0" w:color="auto"/>
        <w:bottom w:val="none" w:sz="0" w:space="0" w:color="auto"/>
        <w:right w:val="none" w:sz="0" w:space="0" w:color="auto"/>
      </w:divBdr>
    </w:div>
    <w:div w:id="252974932">
      <w:bodyDiv w:val="1"/>
      <w:marLeft w:val="0"/>
      <w:marRight w:val="0"/>
      <w:marTop w:val="0"/>
      <w:marBottom w:val="0"/>
      <w:divBdr>
        <w:top w:val="none" w:sz="0" w:space="0" w:color="auto"/>
        <w:left w:val="none" w:sz="0" w:space="0" w:color="auto"/>
        <w:bottom w:val="none" w:sz="0" w:space="0" w:color="auto"/>
        <w:right w:val="none" w:sz="0" w:space="0" w:color="auto"/>
      </w:divBdr>
    </w:div>
    <w:div w:id="744838801">
      <w:bodyDiv w:val="1"/>
      <w:marLeft w:val="0"/>
      <w:marRight w:val="0"/>
      <w:marTop w:val="0"/>
      <w:marBottom w:val="0"/>
      <w:divBdr>
        <w:top w:val="none" w:sz="0" w:space="0" w:color="auto"/>
        <w:left w:val="none" w:sz="0" w:space="0" w:color="auto"/>
        <w:bottom w:val="none" w:sz="0" w:space="0" w:color="auto"/>
        <w:right w:val="none" w:sz="0" w:space="0" w:color="auto"/>
      </w:divBdr>
    </w:div>
    <w:div w:id="795367705">
      <w:bodyDiv w:val="1"/>
      <w:marLeft w:val="0"/>
      <w:marRight w:val="0"/>
      <w:marTop w:val="0"/>
      <w:marBottom w:val="0"/>
      <w:divBdr>
        <w:top w:val="none" w:sz="0" w:space="0" w:color="auto"/>
        <w:left w:val="none" w:sz="0" w:space="0" w:color="auto"/>
        <w:bottom w:val="none" w:sz="0" w:space="0" w:color="auto"/>
        <w:right w:val="none" w:sz="0" w:space="0" w:color="auto"/>
      </w:divBdr>
      <w:divsChild>
        <w:div w:id="2060395290">
          <w:marLeft w:val="0"/>
          <w:marRight w:val="0"/>
          <w:marTop w:val="0"/>
          <w:marBottom w:val="0"/>
          <w:divBdr>
            <w:top w:val="none" w:sz="0" w:space="0" w:color="auto"/>
            <w:left w:val="none" w:sz="0" w:space="0" w:color="auto"/>
            <w:bottom w:val="none" w:sz="0" w:space="0" w:color="auto"/>
            <w:right w:val="none" w:sz="0" w:space="0" w:color="auto"/>
          </w:divBdr>
          <w:divsChild>
            <w:div w:id="95372523">
              <w:marLeft w:val="0"/>
              <w:marRight w:val="0"/>
              <w:marTop w:val="0"/>
              <w:marBottom w:val="0"/>
              <w:divBdr>
                <w:top w:val="none" w:sz="0" w:space="0" w:color="auto"/>
                <w:left w:val="none" w:sz="0" w:space="0" w:color="auto"/>
                <w:bottom w:val="none" w:sz="0" w:space="0" w:color="auto"/>
                <w:right w:val="none" w:sz="0" w:space="0" w:color="auto"/>
              </w:divBdr>
            </w:div>
            <w:div w:id="163134318">
              <w:marLeft w:val="0"/>
              <w:marRight w:val="0"/>
              <w:marTop w:val="0"/>
              <w:marBottom w:val="0"/>
              <w:divBdr>
                <w:top w:val="none" w:sz="0" w:space="0" w:color="auto"/>
                <w:left w:val="none" w:sz="0" w:space="0" w:color="auto"/>
                <w:bottom w:val="none" w:sz="0" w:space="0" w:color="auto"/>
                <w:right w:val="none" w:sz="0" w:space="0" w:color="auto"/>
              </w:divBdr>
            </w:div>
            <w:div w:id="171262745">
              <w:marLeft w:val="0"/>
              <w:marRight w:val="0"/>
              <w:marTop w:val="0"/>
              <w:marBottom w:val="0"/>
              <w:divBdr>
                <w:top w:val="none" w:sz="0" w:space="0" w:color="auto"/>
                <w:left w:val="none" w:sz="0" w:space="0" w:color="auto"/>
                <w:bottom w:val="none" w:sz="0" w:space="0" w:color="auto"/>
                <w:right w:val="none" w:sz="0" w:space="0" w:color="auto"/>
              </w:divBdr>
            </w:div>
            <w:div w:id="958411983">
              <w:marLeft w:val="0"/>
              <w:marRight w:val="0"/>
              <w:marTop w:val="0"/>
              <w:marBottom w:val="0"/>
              <w:divBdr>
                <w:top w:val="none" w:sz="0" w:space="0" w:color="auto"/>
                <w:left w:val="none" w:sz="0" w:space="0" w:color="auto"/>
                <w:bottom w:val="none" w:sz="0" w:space="0" w:color="auto"/>
                <w:right w:val="none" w:sz="0" w:space="0" w:color="auto"/>
              </w:divBdr>
            </w:div>
            <w:div w:id="132842626">
              <w:marLeft w:val="0"/>
              <w:marRight w:val="0"/>
              <w:marTop w:val="0"/>
              <w:marBottom w:val="0"/>
              <w:divBdr>
                <w:top w:val="none" w:sz="0" w:space="0" w:color="auto"/>
                <w:left w:val="none" w:sz="0" w:space="0" w:color="auto"/>
                <w:bottom w:val="none" w:sz="0" w:space="0" w:color="auto"/>
                <w:right w:val="none" w:sz="0" w:space="0" w:color="auto"/>
              </w:divBdr>
            </w:div>
            <w:div w:id="1046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4363">
      <w:bodyDiv w:val="1"/>
      <w:marLeft w:val="0"/>
      <w:marRight w:val="0"/>
      <w:marTop w:val="0"/>
      <w:marBottom w:val="0"/>
      <w:divBdr>
        <w:top w:val="none" w:sz="0" w:space="0" w:color="auto"/>
        <w:left w:val="none" w:sz="0" w:space="0" w:color="auto"/>
        <w:bottom w:val="none" w:sz="0" w:space="0" w:color="auto"/>
        <w:right w:val="none" w:sz="0" w:space="0" w:color="auto"/>
      </w:divBdr>
    </w:div>
    <w:div w:id="1556309753">
      <w:bodyDiv w:val="1"/>
      <w:marLeft w:val="0"/>
      <w:marRight w:val="0"/>
      <w:marTop w:val="0"/>
      <w:marBottom w:val="0"/>
      <w:divBdr>
        <w:top w:val="none" w:sz="0" w:space="0" w:color="auto"/>
        <w:left w:val="none" w:sz="0" w:space="0" w:color="auto"/>
        <w:bottom w:val="none" w:sz="0" w:space="0" w:color="auto"/>
        <w:right w:val="none" w:sz="0" w:space="0" w:color="auto"/>
      </w:divBdr>
    </w:div>
    <w:div w:id="20700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fwf.org/chesapeake/Documents/chesapeake-business-plan.pdf"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Joe.Toolan@NFWF.org" TargetMode="External"/><Relationship Id="rId7" Type="http://schemas.openxmlformats.org/officeDocument/2006/relationships/settings" Target="settings.xml"/><Relationship Id="rId12" Type="http://schemas.openxmlformats.org/officeDocument/2006/relationships/hyperlink" Target="https://www.nfwf.org/sites/default/files/centralapps/Documents/Central%20Apps%20BP%20FINAL%20with%20literature%20cited%20but%20no%20appendices.pdf"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Joe.Toolan@NFW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am.gov/S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Toolan@NFWF.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53A2B9F00F041B763B99498D5FC8B" ma:contentTypeVersion="0" ma:contentTypeDescription="Create a new document." ma:contentTypeScope="" ma:versionID="18e95331518fc97a5066f24e3eeda8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D788-4F99-4463-8B3A-506958209444}">
  <ds:schemaRefs>
    <ds:schemaRef ds:uri="http://schemas.microsoft.com/office/2006/metadata/properties"/>
  </ds:schemaRefs>
</ds:datastoreItem>
</file>

<file path=customXml/itemProps2.xml><?xml version="1.0" encoding="utf-8"?>
<ds:datastoreItem xmlns:ds="http://schemas.openxmlformats.org/officeDocument/2006/customXml" ds:itemID="{D973FDE5-3F46-41D0-8FEF-8AB71EC31E6F}">
  <ds:schemaRefs>
    <ds:schemaRef ds:uri="http://schemas.microsoft.com/sharepoint/v3/contenttype/forms"/>
  </ds:schemaRefs>
</ds:datastoreItem>
</file>

<file path=customXml/itemProps3.xml><?xml version="1.0" encoding="utf-8"?>
<ds:datastoreItem xmlns:ds="http://schemas.openxmlformats.org/officeDocument/2006/customXml" ds:itemID="{77AFDE6B-78D8-4954-81D5-FD8AF2C25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C4AA18-2259-4F1C-9555-4BA06161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3041</Words>
  <Characters>17336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20337</CharactersWithSpaces>
  <SharedDoc>false</SharedDoc>
  <HLinks>
    <vt:vector size="24" baseType="variant">
      <vt:variant>
        <vt:i4>4063304</vt:i4>
      </vt:variant>
      <vt:variant>
        <vt:i4>9</vt:i4>
      </vt:variant>
      <vt:variant>
        <vt:i4>0</vt:i4>
      </vt:variant>
      <vt:variant>
        <vt:i4>5</vt:i4>
      </vt:variant>
      <vt:variant>
        <vt:lpwstr>mailto:Christina.Kakoyannis@nfwf.org</vt:lpwstr>
      </vt:variant>
      <vt:variant>
        <vt:lpwstr/>
      </vt:variant>
      <vt:variant>
        <vt:i4>4063304</vt:i4>
      </vt:variant>
      <vt:variant>
        <vt:i4>6</vt:i4>
      </vt:variant>
      <vt:variant>
        <vt:i4>0</vt:i4>
      </vt:variant>
      <vt:variant>
        <vt:i4>5</vt:i4>
      </vt:variant>
      <vt:variant>
        <vt:lpwstr>mailto:Christina.Kakoyannis@nfwf.org</vt:lpwstr>
      </vt:variant>
      <vt:variant>
        <vt:lpwstr/>
      </vt:variant>
      <vt:variant>
        <vt:i4>5242954</vt:i4>
      </vt:variant>
      <vt:variant>
        <vt:i4>3</vt:i4>
      </vt:variant>
      <vt:variant>
        <vt:i4>0</vt:i4>
      </vt:variant>
      <vt:variant>
        <vt:i4>5</vt:i4>
      </vt:variant>
      <vt:variant>
        <vt:lpwstr>http://www.sustainourgreatlakes.org/</vt:lpwstr>
      </vt:variant>
      <vt:variant>
        <vt:lpwstr/>
      </vt:variant>
      <vt:variant>
        <vt:i4>4063304</vt:i4>
      </vt:variant>
      <vt:variant>
        <vt:i4>0</vt:i4>
      </vt:variant>
      <vt:variant>
        <vt:i4>0</vt:i4>
      </vt:variant>
      <vt:variant>
        <vt:i4>5</vt:i4>
      </vt:variant>
      <vt:variant>
        <vt:lpwstr>mailto:Christina.kakoyannis@nfwf.org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ssessine</dc:creator>
  <cp:lastModifiedBy>Joe Toolan</cp:lastModifiedBy>
  <cp:revision>2</cp:revision>
  <cp:lastPrinted>2015-12-10T18:44:00Z</cp:lastPrinted>
  <dcterms:created xsi:type="dcterms:W3CDTF">2023-02-02T17:40:00Z</dcterms:created>
  <dcterms:modified xsi:type="dcterms:W3CDTF">2023-02-02T17:40:00Z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0x0101008F653A2B9F00F041B763B99498D5FC8B</vt:lpwstr>
  </property>
</Properties>
</file>