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EB76" w14:textId="0F0B2327" w:rsidR="00CA183A" w:rsidRPr="00B26C97" w:rsidRDefault="00CA183A" w:rsidP="00CA183A">
      <w:pPr>
        <w:pStyle w:val="Heading1"/>
        <w:rPr>
          <w:rFonts w:ascii="Arial" w:eastAsiaTheme="minorHAnsi" w:hAnsi="Arial" w:cstheme="minorBidi"/>
        </w:rPr>
      </w:pPr>
      <w:r w:rsidRPr="00B26C97">
        <w:t xml:space="preserve">Appendix </w:t>
      </w:r>
      <w:r>
        <w:t>F</w:t>
      </w:r>
      <w:r w:rsidRPr="00B26C97">
        <w:t xml:space="preserve">: </w:t>
      </w:r>
      <w:r>
        <w:t xml:space="preserve">Kelp and Macroalgae Restoration </w:t>
      </w:r>
      <w:r w:rsidR="00207650">
        <w:t>Monitoring</w:t>
      </w:r>
      <w:r>
        <w:t xml:space="preserve"> Methods and Metrics</w:t>
      </w:r>
    </w:p>
    <w:p w14:paraId="3E60BAC0" w14:textId="77777777" w:rsidR="00CA183A" w:rsidRDefault="00CA183A" w:rsidP="00CA183A"/>
    <w:p w14:paraId="157A2CD7" w14:textId="52DDA5C5" w:rsidR="00BE0614" w:rsidRDefault="00BE0614" w:rsidP="00CA183A">
      <w:r w:rsidRPr="004E0EE4">
        <w:rPr>
          <w:b/>
          <w:bCs/>
        </w:rPr>
        <w:t>Monitoring Overview</w:t>
      </w:r>
    </w:p>
    <w:p w14:paraId="1BE25107" w14:textId="554B88A9" w:rsidR="008C7800" w:rsidRDefault="00746F25" w:rsidP="0025667C">
      <w:pPr>
        <w:spacing w:after="200"/>
      </w:pPr>
      <w:r w:rsidRPr="001F164A">
        <w:t xml:space="preserve">This appendix </w:t>
      </w:r>
      <w:r>
        <w:t>describes</w:t>
      </w:r>
      <w:r w:rsidRPr="001F164A">
        <w:t xml:space="preserve"> </w:t>
      </w:r>
      <w:r w:rsidRPr="00AA487E">
        <w:t>some metrics specific</w:t>
      </w:r>
      <w:r w:rsidRPr="00705D52">
        <w:t xml:space="preserve"> to </w:t>
      </w:r>
      <w:r w:rsidRPr="004E0EE4">
        <w:t>kelp</w:t>
      </w:r>
      <w:r w:rsidR="00705D52">
        <w:t>; they</w:t>
      </w:r>
      <w:r w:rsidR="00384931">
        <w:t xml:space="preserve"> are most applicable to large, fleshy </w:t>
      </w:r>
      <w:r w:rsidR="00384931" w:rsidRPr="00322ECE">
        <w:t xml:space="preserve">algae </w:t>
      </w:r>
      <w:r w:rsidR="00384931" w:rsidRPr="0046575D">
        <w:t>such as giant kelp (</w:t>
      </w:r>
      <w:r w:rsidR="00384931" w:rsidRPr="0046575D">
        <w:rPr>
          <w:i/>
          <w:iCs/>
        </w:rPr>
        <w:t xml:space="preserve">Macrocystis) </w:t>
      </w:r>
      <w:r w:rsidR="00384931" w:rsidRPr="0046575D">
        <w:t>and bull kelp</w:t>
      </w:r>
      <w:r w:rsidR="00384931" w:rsidRPr="0046575D">
        <w:rPr>
          <w:i/>
          <w:iCs/>
        </w:rPr>
        <w:t xml:space="preserve"> (</w:t>
      </w:r>
      <w:proofErr w:type="spellStart"/>
      <w:r w:rsidR="00384931" w:rsidRPr="0046575D">
        <w:rPr>
          <w:i/>
          <w:iCs/>
        </w:rPr>
        <w:t>Nereocystis</w:t>
      </w:r>
      <w:proofErr w:type="spellEnd"/>
      <w:r w:rsidR="00384931" w:rsidRPr="00322ECE">
        <w:rPr>
          <w:i/>
          <w:iCs/>
        </w:rPr>
        <w:t>)</w:t>
      </w:r>
      <w:r w:rsidR="00384931" w:rsidRPr="00322ECE">
        <w:t xml:space="preserve"> rather than filamentous algae. </w:t>
      </w:r>
      <w:r w:rsidR="004C02F0">
        <w:t>They</w:t>
      </w:r>
      <w:r w:rsidR="0091016B">
        <w:t xml:space="preserve"> focus on key biophysical parameters (kelp density and cover</w:t>
      </w:r>
      <w:r w:rsidR="00675B4B">
        <w:t xml:space="preserve">), with one metric reflecting </w:t>
      </w:r>
      <w:r w:rsidR="00B23ADF">
        <w:t>food web dynamics (urchin density)</w:t>
      </w:r>
      <w:r w:rsidR="0044658C">
        <w:t xml:space="preserve">, </w:t>
      </w:r>
      <w:r w:rsidR="00331728">
        <w:t xml:space="preserve">which are expected to be </w:t>
      </w:r>
      <w:r w:rsidR="0044658C">
        <w:t>broadly useful for understanding th</w:t>
      </w:r>
      <w:r w:rsidR="00331728">
        <w:t xml:space="preserve">is </w:t>
      </w:r>
      <w:r w:rsidR="00AE672E">
        <w:t xml:space="preserve">ecosystem’s ability to persist and continue to provide ecosystem </w:t>
      </w:r>
      <w:r w:rsidR="00AE672E" w:rsidRPr="0025667C">
        <w:t>services.</w:t>
      </w:r>
      <w:r w:rsidR="00B23ADF" w:rsidRPr="0025667C">
        <w:t xml:space="preserve"> </w:t>
      </w:r>
      <w:r w:rsidR="00705D52" w:rsidRPr="00322ECE">
        <w:t>See Core Metrics</w:t>
      </w:r>
      <w:r w:rsidR="00705D52" w:rsidRPr="00AA487E">
        <w:t xml:space="preserve"> by NBS for the list</w:t>
      </w:r>
      <w:r w:rsidR="00705D52">
        <w:t xml:space="preserve"> of required metrics per NBS type.</w:t>
      </w:r>
    </w:p>
    <w:p w14:paraId="5F70BC50" w14:textId="33A88F5D" w:rsidR="00765D35" w:rsidRPr="004E0EE4" w:rsidRDefault="00765D35" w:rsidP="004E0EE4">
      <w:pPr>
        <w:spacing w:after="200"/>
        <w:rPr>
          <w:i/>
          <w:iCs/>
        </w:rPr>
      </w:pPr>
      <w:r w:rsidRPr="004E0EE4">
        <w:rPr>
          <w:i/>
          <w:iCs/>
        </w:rPr>
        <w:t>This appendix gives very general guidance on kelp metrics</w:t>
      </w:r>
      <w:r w:rsidR="004A4BD6" w:rsidRPr="00BA093C">
        <w:rPr>
          <w:i/>
          <w:iCs/>
        </w:rPr>
        <w:t xml:space="preserve"> and methods</w:t>
      </w:r>
      <w:r w:rsidRPr="004E0EE4">
        <w:rPr>
          <w:i/>
          <w:iCs/>
        </w:rPr>
        <w:t>; for detail</w:t>
      </w:r>
      <w:r w:rsidR="004A4BD6" w:rsidRPr="00BA093C">
        <w:rPr>
          <w:i/>
          <w:iCs/>
        </w:rPr>
        <w:t>s</w:t>
      </w:r>
      <w:r w:rsidRPr="004E0EE4">
        <w:rPr>
          <w:i/>
          <w:iCs/>
        </w:rPr>
        <w:t xml:space="preserve">, </w:t>
      </w:r>
      <w:r w:rsidR="008362FC" w:rsidRPr="004E0EE4">
        <w:rPr>
          <w:i/>
          <w:iCs/>
        </w:rPr>
        <w:t xml:space="preserve">see </w:t>
      </w:r>
      <w:r w:rsidR="005F53D4" w:rsidRPr="004E0EE4">
        <w:rPr>
          <w:i/>
          <w:iCs/>
        </w:rPr>
        <w:t>the Reef</w:t>
      </w:r>
      <w:r w:rsidR="00C03EB7">
        <w:rPr>
          <w:i/>
          <w:iCs/>
        </w:rPr>
        <w:t xml:space="preserve"> </w:t>
      </w:r>
      <w:r w:rsidR="005F53D4" w:rsidRPr="004E0EE4">
        <w:rPr>
          <w:i/>
          <w:iCs/>
        </w:rPr>
        <w:t>Check Manual (Freiwald, et al., 2021)</w:t>
      </w:r>
      <w:r w:rsidR="00585859">
        <w:rPr>
          <w:i/>
          <w:iCs/>
        </w:rPr>
        <w:t xml:space="preserve"> and the other sources </w:t>
      </w:r>
      <w:r w:rsidR="005F53D4" w:rsidRPr="004E0EE4">
        <w:rPr>
          <w:i/>
          <w:iCs/>
        </w:rPr>
        <w:t>cited below.</w:t>
      </w:r>
    </w:p>
    <w:p w14:paraId="7DC3ADC9" w14:textId="1C7F6C76" w:rsidR="00EC4281" w:rsidRDefault="00EC4281" w:rsidP="00394D95">
      <w:pPr>
        <w:rPr>
          <w:b/>
          <w:bCs/>
        </w:rPr>
      </w:pPr>
      <w:r>
        <w:rPr>
          <w:b/>
          <w:bCs/>
        </w:rPr>
        <w:t xml:space="preserve">General guidance on </w:t>
      </w:r>
      <w:r w:rsidR="00FA0B50">
        <w:rPr>
          <w:b/>
          <w:bCs/>
        </w:rPr>
        <w:t>area to be monitored</w:t>
      </w:r>
      <w:r>
        <w:rPr>
          <w:b/>
          <w:bCs/>
        </w:rPr>
        <w:t xml:space="preserve"> </w:t>
      </w:r>
    </w:p>
    <w:p w14:paraId="3E5DF35A" w14:textId="1DF8CBE9" w:rsidR="00E46216" w:rsidRPr="002435D8" w:rsidRDefault="00E46216" w:rsidP="004E0EE4">
      <w:pPr>
        <w:pStyle w:val="ListParagraph"/>
        <w:numPr>
          <w:ilvl w:val="0"/>
          <w:numId w:val="4"/>
        </w:numPr>
      </w:pPr>
      <w:r w:rsidRPr="00ED3813">
        <w:t xml:space="preserve">In your monitoring plan, state </w:t>
      </w:r>
      <w:r w:rsidRPr="004E0EE4">
        <w:t>whether the project area is being monitored completely or sampled</w:t>
      </w:r>
      <w:r w:rsidRPr="00ED3813">
        <w:t xml:space="preserve">, and </w:t>
      </w:r>
      <w:r w:rsidR="00E90DFA" w:rsidRPr="00ED3813">
        <w:t>describe</w:t>
      </w:r>
      <w:r w:rsidRPr="00ED3813">
        <w:t xml:space="preserve"> </w:t>
      </w:r>
      <w:r w:rsidRPr="004E0EE4">
        <w:t xml:space="preserve">your plan for </w:t>
      </w:r>
      <w:r w:rsidR="00ED3813">
        <w:t xml:space="preserve">any </w:t>
      </w:r>
      <w:r w:rsidRPr="004E0EE4">
        <w:t>sampling</w:t>
      </w:r>
      <w:r w:rsidRPr="002435D8">
        <w:t>, including any randomization, stratification, etc.</w:t>
      </w:r>
    </w:p>
    <w:p w14:paraId="537F9D4D" w14:textId="1A77318D" w:rsidR="00BA4FF7" w:rsidRPr="002435D8" w:rsidRDefault="00E90DFA" w:rsidP="00580DE5">
      <w:pPr>
        <w:pStyle w:val="ListParagraph"/>
        <w:numPr>
          <w:ilvl w:val="0"/>
          <w:numId w:val="4"/>
        </w:numPr>
      </w:pPr>
      <w:r w:rsidRPr="002435D8">
        <w:t xml:space="preserve">On the data </w:t>
      </w:r>
      <w:r w:rsidR="00AA0F31" w:rsidRPr="002435D8">
        <w:t>reporting template</w:t>
      </w:r>
      <w:r w:rsidRPr="002435D8">
        <w:t>, briefly summarize this information in the field</w:t>
      </w:r>
      <w:r w:rsidR="00ED3813" w:rsidRPr="002435D8">
        <w:t>s</w:t>
      </w:r>
      <w:r w:rsidRPr="002435D8">
        <w:t xml:space="preserve"> provided.</w:t>
      </w:r>
    </w:p>
    <w:p w14:paraId="5056A227" w14:textId="77777777" w:rsidR="00F13464" w:rsidRPr="002435D8" w:rsidRDefault="00F13464" w:rsidP="00F13464"/>
    <w:p w14:paraId="2C41B923" w14:textId="30F83171" w:rsidR="00F13464" w:rsidRDefault="00F13464" w:rsidP="00F13464">
      <w:pPr>
        <w:pStyle w:val="Heading3"/>
      </w:pPr>
      <w:r w:rsidRPr="002435D8">
        <w:t xml:space="preserve">Kelp </w:t>
      </w:r>
      <w:r w:rsidR="00D839FC">
        <w:t>S</w:t>
      </w:r>
      <w:r w:rsidRPr="002435D8">
        <w:t xml:space="preserve">tipe </w:t>
      </w:r>
      <w:r w:rsidR="00D839FC">
        <w:t>D</w:t>
      </w:r>
      <w:r w:rsidRPr="002435D8">
        <w:t>ensity</w:t>
      </w:r>
    </w:p>
    <w:p w14:paraId="69C5112A" w14:textId="42BEBCBB" w:rsidR="00F13464" w:rsidRPr="004E0EE4" w:rsidRDefault="00F13464" w:rsidP="00F13464">
      <w:pPr>
        <w:rPr>
          <w:i/>
          <w:iCs/>
        </w:rPr>
      </w:pPr>
      <w:r w:rsidRPr="0046575D">
        <w:rPr>
          <w:i/>
          <w:iCs/>
        </w:rPr>
        <w:t xml:space="preserve">Intent: </w:t>
      </w:r>
      <w:r>
        <w:rPr>
          <w:i/>
          <w:iCs/>
        </w:rPr>
        <w:t xml:space="preserve">Stipe density can help </w:t>
      </w:r>
      <w:proofErr w:type="gramStart"/>
      <w:r>
        <w:rPr>
          <w:i/>
          <w:iCs/>
        </w:rPr>
        <w:t>evaluate kelp</w:t>
      </w:r>
      <w:proofErr w:type="gramEnd"/>
      <w:r w:rsidR="004C6C6F">
        <w:rPr>
          <w:i/>
          <w:iCs/>
        </w:rPr>
        <w:t xml:space="preserve"> outplant establishment,</w:t>
      </w:r>
      <w:r>
        <w:rPr>
          <w:i/>
          <w:iCs/>
        </w:rPr>
        <w:t xml:space="preserve"> recruitment, settlement, and growth. </w:t>
      </w:r>
    </w:p>
    <w:p w14:paraId="54EE4F0A" w14:textId="6B2C14C0" w:rsidR="00D757E0" w:rsidRDefault="00D757E0" w:rsidP="00D757E0">
      <w:pPr>
        <w:pStyle w:val="ListParagraph"/>
        <w:numPr>
          <w:ilvl w:val="0"/>
          <w:numId w:val="2"/>
        </w:numPr>
      </w:pPr>
      <w:r>
        <w:t xml:space="preserve">Measure the entire restored area, if this is practical for your project site. </w:t>
      </w:r>
    </w:p>
    <w:p w14:paraId="555B1935" w14:textId="77777777" w:rsidR="00D757E0" w:rsidRDefault="00D757E0" w:rsidP="00D757E0">
      <w:pPr>
        <w:pStyle w:val="ListParagraph"/>
        <w:numPr>
          <w:ilvl w:val="1"/>
          <w:numId w:val="2"/>
        </w:numPr>
      </w:pPr>
      <w:r>
        <w:t xml:space="preserve">Otherwise, sample the area using </w:t>
      </w:r>
      <w:r w:rsidRPr="005524C4">
        <w:t>30 m x 2 m</w:t>
      </w:r>
      <w:r>
        <w:t xml:space="preserve"> transects.</w:t>
      </w:r>
    </w:p>
    <w:p w14:paraId="049BAEC9" w14:textId="20969514" w:rsidR="00F13464" w:rsidRDefault="00F13464" w:rsidP="00F13464">
      <w:pPr>
        <w:pStyle w:val="ListParagraph"/>
        <w:numPr>
          <w:ilvl w:val="0"/>
          <w:numId w:val="2"/>
        </w:numPr>
      </w:pPr>
      <w:r>
        <w:t xml:space="preserve">Measure stipe density by diving. </w:t>
      </w:r>
    </w:p>
    <w:p w14:paraId="638D1A54" w14:textId="2A28EB4D" w:rsidR="00F13464" w:rsidRDefault="00F13464" w:rsidP="00F13464">
      <w:pPr>
        <w:pStyle w:val="ListParagraph"/>
        <w:numPr>
          <w:ilvl w:val="0"/>
          <w:numId w:val="2"/>
        </w:numPr>
      </w:pPr>
      <w:r>
        <w:t xml:space="preserve">Survey monitored site for target kelp species and invasive kelp, if applicable. </w:t>
      </w:r>
    </w:p>
    <w:p w14:paraId="760D6D90" w14:textId="040C1315" w:rsidR="00F13464" w:rsidRDefault="0050662C" w:rsidP="00CF7529">
      <w:pPr>
        <w:pStyle w:val="ListParagraph"/>
        <w:numPr>
          <w:ilvl w:val="1"/>
          <w:numId w:val="2"/>
        </w:numPr>
      </w:pPr>
      <w:r>
        <w:t>Report</w:t>
      </w:r>
      <w:r w:rsidR="00CF7529">
        <w:t xml:space="preserve"> kelp</w:t>
      </w:r>
      <w:r w:rsidR="00F13464">
        <w:t xml:space="preserve"> density in stipes/m</w:t>
      </w:r>
      <w:r w:rsidR="00F13464" w:rsidRPr="0046575D">
        <w:rPr>
          <w:vertAlign w:val="superscript"/>
        </w:rPr>
        <w:t>2</w:t>
      </w:r>
      <w:r w:rsidR="00F13464">
        <w:t>.</w:t>
      </w:r>
    </w:p>
    <w:p w14:paraId="7C312E56" w14:textId="1B368238" w:rsidR="00F13464" w:rsidRDefault="00F13464" w:rsidP="00F13464">
      <w:pPr>
        <w:pStyle w:val="ListParagraph"/>
        <w:numPr>
          <w:ilvl w:val="0"/>
          <w:numId w:val="2"/>
        </w:numPr>
      </w:pPr>
      <w:r>
        <w:t xml:space="preserve">If </w:t>
      </w:r>
      <w:r w:rsidRPr="00EC55F1">
        <w:t xml:space="preserve">your restoration includes </w:t>
      </w:r>
      <w:proofErr w:type="spellStart"/>
      <w:r w:rsidRPr="00EC55F1">
        <w:t>outplanting</w:t>
      </w:r>
      <w:proofErr w:type="spellEnd"/>
      <w:r w:rsidR="005C6BAD" w:rsidRPr="00EC55F1">
        <w:t>,</w:t>
      </w:r>
      <w:r w:rsidR="00167077" w:rsidRPr="00EC55F1">
        <w:t xml:space="preserve"> with a design that plan</w:t>
      </w:r>
      <w:r w:rsidRPr="00EC55F1">
        <w:t>s for expected mortality before establishment, enter the outplant density and target post-establishment density in the data form.</w:t>
      </w:r>
      <w:r>
        <w:t xml:space="preserve"> </w:t>
      </w:r>
    </w:p>
    <w:p w14:paraId="475886E8" w14:textId="77777777" w:rsidR="00FC63C2" w:rsidRDefault="00FC63C2" w:rsidP="00CA183A"/>
    <w:p w14:paraId="6A9B6803" w14:textId="1D85AB78" w:rsidR="002F40BD" w:rsidRDefault="002F40BD" w:rsidP="002F40BD">
      <w:pPr>
        <w:pStyle w:val="Heading3"/>
      </w:pPr>
      <w:r>
        <w:t xml:space="preserve">Urchin </w:t>
      </w:r>
      <w:r w:rsidR="00D839FC">
        <w:t>D</w:t>
      </w:r>
      <w:r>
        <w:t>ensity</w:t>
      </w:r>
    </w:p>
    <w:p w14:paraId="052AC143" w14:textId="017C3FFA" w:rsidR="00506D5A" w:rsidRPr="004E0EE4" w:rsidRDefault="00DD3B47" w:rsidP="00506D5A">
      <w:pPr>
        <w:rPr>
          <w:i/>
          <w:iCs/>
        </w:rPr>
      </w:pPr>
      <w:r w:rsidRPr="004E0EE4">
        <w:rPr>
          <w:i/>
          <w:iCs/>
        </w:rPr>
        <w:t>Intent: Urchin density</w:t>
      </w:r>
      <w:r w:rsidR="007D75F8" w:rsidRPr="004E0EE4">
        <w:rPr>
          <w:i/>
          <w:iCs/>
        </w:rPr>
        <w:t xml:space="preserve"> </w:t>
      </w:r>
      <w:r w:rsidR="00096144">
        <w:rPr>
          <w:i/>
          <w:iCs/>
        </w:rPr>
        <w:t>is an indicator of</w:t>
      </w:r>
      <w:r w:rsidR="007D75F8" w:rsidRPr="004E0EE4">
        <w:rPr>
          <w:i/>
          <w:iCs/>
        </w:rPr>
        <w:t xml:space="preserve"> the </w:t>
      </w:r>
      <w:r w:rsidR="00CC7755">
        <w:rPr>
          <w:i/>
          <w:iCs/>
        </w:rPr>
        <w:t>effectiveness</w:t>
      </w:r>
      <w:r w:rsidR="007D75F8" w:rsidRPr="004E0EE4">
        <w:rPr>
          <w:i/>
          <w:iCs/>
        </w:rPr>
        <w:t xml:space="preserve"> of urchin removal</w:t>
      </w:r>
      <w:r w:rsidRPr="004E0EE4">
        <w:rPr>
          <w:i/>
          <w:iCs/>
        </w:rPr>
        <w:t xml:space="preserve"> </w:t>
      </w:r>
      <w:r w:rsidR="00CC7755">
        <w:rPr>
          <w:i/>
          <w:iCs/>
        </w:rPr>
        <w:t>efforts</w:t>
      </w:r>
      <w:r w:rsidR="00096144">
        <w:rPr>
          <w:i/>
          <w:iCs/>
        </w:rPr>
        <w:t xml:space="preserve">, </w:t>
      </w:r>
      <w:r w:rsidR="00013DDC" w:rsidRPr="004E0EE4">
        <w:rPr>
          <w:i/>
          <w:iCs/>
        </w:rPr>
        <w:t>the</w:t>
      </w:r>
      <w:r w:rsidR="00096144">
        <w:rPr>
          <w:i/>
          <w:iCs/>
        </w:rPr>
        <w:t xml:space="preserve"> </w:t>
      </w:r>
      <w:r w:rsidR="00096144" w:rsidRPr="0046575D">
        <w:rPr>
          <w:i/>
          <w:iCs/>
        </w:rPr>
        <w:t>intensity of herbivory</w:t>
      </w:r>
      <w:r w:rsidR="00096144">
        <w:rPr>
          <w:i/>
          <w:iCs/>
        </w:rPr>
        <w:t>,</w:t>
      </w:r>
      <w:r w:rsidR="00096144" w:rsidRPr="00096144">
        <w:rPr>
          <w:i/>
          <w:iCs/>
        </w:rPr>
        <w:t xml:space="preserve"> </w:t>
      </w:r>
      <w:r w:rsidR="00096144">
        <w:rPr>
          <w:i/>
          <w:iCs/>
        </w:rPr>
        <w:t xml:space="preserve">and the </w:t>
      </w:r>
      <w:r w:rsidR="00013DDC" w:rsidRPr="004E0EE4">
        <w:rPr>
          <w:i/>
          <w:iCs/>
        </w:rPr>
        <w:t>kelp</w:t>
      </w:r>
      <w:r w:rsidR="00CC7755" w:rsidRPr="004E0EE4">
        <w:rPr>
          <w:i/>
          <w:iCs/>
        </w:rPr>
        <w:t xml:space="preserve">’s </w:t>
      </w:r>
      <w:r w:rsidR="00013DDC" w:rsidRPr="004E0EE4">
        <w:rPr>
          <w:i/>
          <w:iCs/>
        </w:rPr>
        <w:t>ability to persist</w:t>
      </w:r>
      <w:r w:rsidR="002048F1" w:rsidRPr="004E0EE4">
        <w:rPr>
          <w:i/>
          <w:iCs/>
        </w:rPr>
        <w:t>.</w:t>
      </w:r>
    </w:p>
    <w:p w14:paraId="40A08997" w14:textId="155078FA" w:rsidR="00D757E0" w:rsidRDefault="00D757E0" w:rsidP="00D757E0">
      <w:pPr>
        <w:pStyle w:val="ListParagraph"/>
        <w:numPr>
          <w:ilvl w:val="0"/>
          <w:numId w:val="2"/>
        </w:numPr>
      </w:pPr>
      <w:r>
        <w:t xml:space="preserve">Measure the entire restored area, if this is practical for your project site. </w:t>
      </w:r>
    </w:p>
    <w:p w14:paraId="69CB2D7C" w14:textId="77777777" w:rsidR="00D757E0" w:rsidRDefault="00D757E0" w:rsidP="00D757E0">
      <w:pPr>
        <w:pStyle w:val="ListParagraph"/>
        <w:numPr>
          <w:ilvl w:val="1"/>
          <w:numId w:val="2"/>
        </w:numPr>
      </w:pPr>
      <w:r>
        <w:t xml:space="preserve">Otherwise, sample the area using </w:t>
      </w:r>
      <w:r w:rsidRPr="005524C4">
        <w:t>30 m x 2 m</w:t>
      </w:r>
      <w:r>
        <w:t xml:space="preserve"> transects.</w:t>
      </w:r>
    </w:p>
    <w:p w14:paraId="795EEF23" w14:textId="08717967" w:rsidR="00A172C9" w:rsidRDefault="00A172C9" w:rsidP="007069F2">
      <w:pPr>
        <w:pStyle w:val="ListParagraph"/>
        <w:numPr>
          <w:ilvl w:val="0"/>
          <w:numId w:val="2"/>
        </w:numPr>
      </w:pPr>
      <w:r>
        <w:t xml:space="preserve">Measure urchin density by diving. </w:t>
      </w:r>
    </w:p>
    <w:p w14:paraId="60C2EF53" w14:textId="7D9B82D8" w:rsidR="00E91BE2" w:rsidRDefault="006A0965" w:rsidP="002F40BD">
      <w:pPr>
        <w:pStyle w:val="ListParagraph"/>
        <w:numPr>
          <w:ilvl w:val="0"/>
          <w:numId w:val="2"/>
        </w:numPr>
      </w:pPr>
      <w:r>
        <w:t>If using transects, c</w:t>
      </w:r>
      <w:r w:rsidR="007069F2">
        <w:t>ount urchin</w:t>
      </w:r>
      <w:r w:rsidR="001572ED">
        <w:t xml:space="preserve">s </w:t>
      </w:r>
      <w:r w:rsidR="008B37A0">
        <w:t xml:space="preserve">within </w:t>
      </w:r>
      <w:r>
        <w:t xml:space="preserve">the full </w:t>
      </w:r>
      <w:r w:rsidR="008B37A0">
        <w:t>30 m x 2 m transect</w:t>
      </w:r>
      <w:r w:rsidR="00A545B4">
        <w:t xml:space="preserve"> area</w:t>
      </w:r>
      <w:r w:rsidR="008B37A0">
        <w:t>.</w:t>
      </w:r>
      <w:r w:rsidR="001572ED">
        <w:t xml:space="preserve"> </w:t>
      </w:r>
    </w:p>
    <w:p w14:paraId="7F3CFFEC" w14:textId="1AF0E37D" w:rsidR="009B016C" w:rsidRDefault="00942922" w:rsidP="004E0EE4">
      <w:pPr>
        <w:pStyle w:val="ListParagraph"/>
        <w:numPr>
          <w:ilvl w:val="0"/>
          <w:numId w:val="2"/>
        </w:numPr>
      </w:pPr>
      <w:r>
        <w:t>Report urchin</w:t>
      </w:r>
      <w:r w:rsidR="00AC3EB8">
        <w:t xml:space="preserve"> density</w:t>
      </w:r>
      <w:r w:rsidR="00D47A7E">
        <w:t xml:space="preserve"> in urchins/m</w:t>
      </w:r>
      <w:r w:rsidR="00D47A7E" w:rsidRPr="0046575D">
        <w:rPr>
          <w:vertAlign w:val="superscript"/>
        </w:rPr>
        <w:t>2</w:t>
      </w:r>
      <w:r w:rsidR="00D47A7E">
        <w:t>.</w:t>
      </w:r>
    </w:p>
    <w:p w14:paraId="2B6DD79B" w14:textId="77777777" w:rsidR="00D47A7E" w:rsidRDefault="00D47A7E" w:rsidP="002F40BD"/>
    <w:p w14:paraId="5DA25AB1" w14:textId="4609F3EB" w:rsidR="00F13464" w:rsidRPr="00215AED" w:rsidRDefault="00F13464" w:rsidP="00F13464">
      <w:pPr>
        <w:pStyle w:val="Heading3"/>
      </w:pPr>
      <w:r w:rsidRPr="00215AED">
        <w:lastRenderedPageBreak/>
        <w:t xml:space="preserve">Kelp </w:t>
      </w:r>
      <w:r w:rsidR="00A77FE2">
        <w:t>c</w:t>
      </w:r>
      <w:r w:rsidRPr="00215AED">
        <w:t xml:space="preserve">anopy </w:t>
      </w:r>
      <w:r w:rsidR="00A77FE2">
        <w:t>c</w:t>
      </w:r>
      <w:r w:rsidRPr="00215AED">
        <w:t xml:space="preserve">over </w:t>
      </w:r>
    </w:p>
    <w:p w14:paraId="387E1DD4" w14:textId="243C5529" w:rsidR="00F13464" w:rsidRPr="00CB0E6C" w:rsidRDefault="00F13464" w:rsidP="00F13464">
      <w:pPr>
        <w:rPr>
          <w:i/>
          <w:iCs/>
        </w:rPr>
      </w:pPr>
      <w:r>
        <w:rPr>
          <w:i/>
          <w:iCs/>
        </w:rPr>
        <w:t>Intent: C</w:t>
      </w:r>
      <w:r w:rsidRPr="000B27DD">
        <w:rPr>
          <w:i/>
          <w:iCs/>
        </w:rPr>
        <w:t xml:space="preserve">anopy cover is an indicator of the surface area and biomass of canopy-forming kelps such as Macrocystis </w:t>
      </w:r>
      <w:r w:rsidRPr="0046575D">
        <w:rPr>
          <w:i/>
          <w:iCs/>
        </w:rPr>
        <w:t>and</w:t>
      </w:r>
      <w:r w:rsidRPr="000B27DD">
        <w:rPr>
          <w:i/>
          <w:iCs/>
        </w:rPr>
        <w:t xml:space="preserve"> </w:t>
      </w:r>
      <w:proofErr w:type="spellStart"/>
      <w:r w:rsidRPr="000B27DD">
        <w:rPr>
          <w:i/>
          <w:iCs/>
        </w:rPr>
        <w:t>Nereocystis</w:t>
      </w:r>
      <w:proofErr w:type="spellEnd"/>
      <w:r w:rsidRPr="0046575D">
        <w:rPr>
          <w:i/>
          <w:iCs/>
        </w:rPr>
        <w:t xml:space="preserve"> and therefore an </w:t>
      </w:r>
      <w:r w:rsidRPr="00CB0E6C">
        <w:rPr>
          <w:i/>
          <w:iCs/>
        </w:rPr>
        <w:t>indicator of their ability to persist and provide ecosystem services.</w:t>
      </w:r>
    </w:p>
    <w:p w14:paraId="7AE83D3D" w14:textId="77777777" w:rsidR="00674396" w:rsidRPr="00CB0E6C" w:rsidRDefault="00674396" w:rsidP="00F13464"/>
    <w:p w14:paraId="3C016140" w14:textId="6ED993C9" w:rsidR="00E811DB" w:rsidRPr="00CB0E6C" w:rsidRDefault="00E811DB" w:rsidP="00F13464">
      <w:r w:rsidRPr="00CB0E6C">
        <w:t>Make sure to s</w:t>
      </w:r>
      <w:r w:rsidRPr="00CB0E6C">
        <w:t xml:space="preserve">pecify your sampling </w:t>
      </w:r>
      <w:r w:rsidRPr="00CB0E6C">
        <w:t>plan</w:t>
      </w:r>
      <w:r w:rsidRPr="00CB0E6C">
        <w:t xml:space="preserve"> in your monitoring plan and on the data reporting form.</w:t>
      </w:r>
    </w:p>
    <w:p w14:paraId="47873BD6" w14:textId="77777777" w:rsidR="00E811DB" w:rsidRPr="00CB0E6C" w:rsidRDefault="00E811DB" w:rsidP="00F13464"/>
    <w:p w14:paraId="33F9E615" w14:textId="77777777" w:rsidR="00F13464" w:rsidRPr="00CB0E6C" w:rsidRDefault="00F13464" w:rsidP="00F13464">
      <w:pPr>
        <w:rPr>
          <w:b/>
          <w:bCs/>
        </w:rPr>
      </w:pPr>
      <w:r w:rsidRPr="00CB0E6C">
        <w:rPr>
          <w:b/>
          <w:bCs/>
        </w:rPr>
        <w:t>Kelp canopy cover method 1: Satellite-, UAS-, or Piloted-Aircraft-based remote sensing methods</w:t>
      </w:r>
    </w:p>
    <w:p w14:paraId="14FC95F0" w14:textId="77777777" w:rsidR="00F13464" w:rsidRPr="00CB0E6C" w:rsidRDefault="00F13464" w:rsidP="00F13464">
      <w:pPr>
        <w:pStyle w:val="ListParagraph"/>
        <w:numPr>
          <w:ilvl w:val="0"/>
          <w:numId w:val="2"/>
        </w:numPr>
      </w:pPr>
      <w:r w:rsidRPr="00CB0E6C">
        <w:t>Use remotely sensed data such as LANDSAT or UAS (drone) imagery to identify floating surface canopy cover.</w:t>
      </w:r>
    </w:p>
    <w:p w14:paraId="562DF5BD" w14:textId="3416F0D6" w:rsidR="00F13464" w:rsidRPr="00CB0E6C" w:rsidRDefault="00F13464" w:rsidP="0009425F">
      <w:pPr>
        <w:pStyle w:val="ListParagraph"/>
        <w:numPr>
          <w:ilvl w:val="1"/>
          <w:numId w:val="2"/>
        </w:numPr>
      </w:pPr>
      <w:r w:rsidRPr="00CB0E6C">
        <w:t>These methods may be visually interpretable or may require technical analysis to quantify canopy cover.</w:t>
      </w:r>
      <w:r w:rsidR="00997D41" w:rsidRPr="00CB0E6C">
        <w:t xml:space="preserve"> They</w:t>
      </w:r>
      <w:r w:rsidRPr="00CB0E6C">
        <w:t xml:space="preserve"> may not be able to distinguish kelp species. </w:t>
      </w:r>
    </w:p>
    <w:p w14:paraId="5E33E594" w14:textId="1B0A652E" w:rsidR="00FB14F3" w:rsidRPr="00CB0E6C" w:rsidRDefault="00FB14F3" w:rsidP="00997D41">
      <w:pPr>
        <w:pStyle w:val="ListParagraph"/>
        <w:numPr>
          <w:ilvl w:val="0"/>
          <w:numId w:val="2"/>
        </w:numPr>
      </w:pPr>
      <w:proofErr w:type="gramStart"/>
      <w:r w:rsidRPr="00CB0E6C">
        <w:t>Report</w:t>
      </w:r>
      <w:proofErr w:type="gramEnd"/>
      <w:r w:rsidRPr="00CB0E6C">
        <w:t xml:space="preserve"> the total canopy area within the restoration site</w:t>
      </w:r>
      <w:r w:rsidR="0080522F" w:rsidRPr="00CB0E6C">
        <w:t>.</w:t>
      </w:r>
    </w:p>
    <w:p w14:paraId="3C3925DB" w14:textId="77777777" w:rsidR="00F13464" w:rsidRPr="00CB0E6C" w:rsidRDefault="00F13464" w:rsidP="00F13464"/>
    <w:p w14:paraId="776E265C" w14:textId="108C53D6" w:rsidR="00F13464" w:rsidRPr="00CB0E6C" w:rsidRDefault="00F13464" w:rsidP="00F13464">
      <w:pPr>
        <w:rPr>
          <w:b/>
          <w:bCs/>
        </w:rPr>
      </w:pPr>
      <w:r w:rsidRPr="00CB0E6C">
        <w:rPr>
          <w:b/>
          <w:bCs/>
        </w:rPr>
        <w:t>Kelp canopy cover method 2:</w:t>
      </w:r>
    </w:p>
    <w:p w14:paraId="66247493" w14:textId="77777777" w:rsidR="003E26EB" w:rsidRPr="00CB0E6C" w:rsidRDefault="00F13464" w:rsidP="0080522F">
      <w:pPr>
        <w:pStyle w:val="ListParagraph"/>
        <w:numPr>
          <w:ilvl w:val="0"/>
          <w:numId w:val="6"/>
        </w:numPr>
      </w:pPr>
      <w:r w:rsidRPr="00CB0E6C">
        <w:t xml:space="preserve">Sample canopy </w:t>
      </w:r>
      <w:r w:rsidR="003F3CD0" w:rsidRPr="00CB0E6C">
        <w:t>area</w:t>
      </w:r>
      <w:r w:rsidRPr="00CB0E6C">
        <w:t xml:space="preserve"> </w:t>
      </w:r>
      <w:r w:rsidR="002B1B84" w:rsidRPr="00CB0E6C">
        <w:t xml:space="preserve">three-sided </w:t>
      </w:r>
      <w:r w:rsidRPr="00CB0E6C">
        <w:t xml:space="preserve">quadrat </w:t>
      </w:r>
      <w:r w:rsidR="009C4EC9" w:rsidRPr="00CB0E6C">
        <w:t xml:space="preserve">or constant swath width </w:t>
      </w:r>
      <w:r w:rsidRPr="00CB0E6C">
        <w:t>from a kayak or other small boat</w:t>
      </w:r>
      <w:r w:rsidR="00FB1DE4" w:rsidRPr="00CB0E6C">
        <w:t xml:space="preserve"> as described</w:t>
      </w:r>
      <w:r w:rsidR="00C64CD5" w:rsidRPr="00CB0E6C">
        <w:t xml:space="preserve"> in </w:t>
      </w:r>
      <w:r w:rsidR="00FB1DE4" w:rsidRPr="00CB0E6C">
        <w:t>in Ledbetter and Berry (2023)</w:t>
      </w:r>
      <w:r w:rsidR="00AF57C0" w:rsidRPr="00CB0E6C">
        <w:t>,</w:t>
      </w:r>
      <w:r w:rsidR="00436573" w:rsidRPr="00CB0E6C">
        <w:t xml:space="preserve"> </w:t>
      </w:r>
      <w:r w:rsidR="00AF57C0" w:rsidRPr="00CB0E6C">
        <w:t>“</w:t>
      </w:r>
      <w:r w:rsidR="00AF57C0" w:rsidRPr="00CB0E6C">
        <w:t xml:space="preserve">2.5 Floating Kelp Density and Percent </w:t>
      </w:r>
      <w:proofErr w:type="spellStart"/>
      <w:r w:rsidR="00AF57C0" w:rsidRPr="00CB0E6C">
        <w:t>Cover</w:t>
      </w:r>
      <w:r w:rsidR="003E26EB" w:rsidRPr="00CB0E6C">
        <w:t>.”</w:t>
      </w:r>
      <w:proofErr w:type="spellEnd"/>
    </w:p>
    <w:p w14:paraId="7A0FC5A6" w14:textId="148B8DD6" w:rsidR="0080522F" w:rsidRPr="00CB0E6C" w:rsidRDefault="0080522F" w:rsidP="0080522F">
      <w:pPr>
        <w:pStyle w:val="ListParagraph"/>
        <w:numPr>
          <w:ilvl w:val="0"/>
          <w:numId w:val="6"/>
        </w:numPr>
      </w:pPr>
      <w:proofErr w:type="gramStart"/>
      <w:r w:rsidRPr="00CB0E6C">
        <w:t>Report</w:t>
      </w:r>
      <w:proofErr w:type="gramEnd"/>
      <w:r w:rsidRPr="00CB0E6C">
        <w:t xml:space="preserve"> the </w:t>
      </w:r>
      <w:r w:rsidR="003E26EB" w:rsidRPr="00CB0E6C">
        <w:t>canopy cover percentage</w:t>
      </w:r>
      <w:r w:rsidRPr="00CB0E6C">
        <w:t xml:space="preserve"> within the restoration site.</w:t>
      </w:r>
    </w:p>
    <w:p w14:paraId="1CCD7D26" w14:textId="77777777" w:rsidR="0045538C" w:rsidRDefault="0045538C" w:rsidP="004E0EE4">
      <w:pPr>
        <w:pStyle w:val="ListParagraph"/>
      </w:pPr>
    </w:p>
    <w:p w14:paraId="069562D6" w14:textId="77777777" w:rsidR="00367504" w:rsidRDefault="00367504" w:rsidP="00367504">
      <w:pPr>
        <w:pStyle w:val="Heading2"/>
      </w:pPr>
      <w:r>
        <w:t>Citations and Further Reading</w:t>
      </w:r>
    </w:p>
    <w:p w14:paraId="0E9C2DF3" w14:textId="21CCD3E5" w:rsidR="00E9670A" w:rsidRDefault="00E9670A" w:rsidP="00367504"/>
    <w:p w14:paraId="098AC481" w14:textId="77777777" w:rsidR="00910C75" w:rsidRDefault="00910C75" w:rsidP="00910C75">
      <w:r w:rsidRPr="00B84B03">
        <w:t xml:space="preserve">Carr, et al </w:t>
      </w:r>
      <w:r w:rsidRPr="0046575D">
        <w:t xml:space="preserve">2021 </w:t>
      </w:r>
      <w:r w:rsidRPr="00B84B03">
        <w:t>–</w:t>
      </w:r>
      <w:r w:rsidRPr="0046575D">
        <w:t xml:space="preserve"> Monitoring and Evaluation of Kelp Forest Ecosystems</w:t>
      </w:r>
      <w:r>
        <w:t xml:space="preserve"> </w:t>
      </w:r>
      <w:r w:rsidRPr="0046575D">
        <w:t>in the MLPA Marine Protected Area Network</w:t>
      </w:r>
      <w:r>
        <w:t xml:space="preserve"> </w:t>
      </w:r>
      <w:hyperlink r:id="rId9" w:history="1">
        <w:r w:rsidRPr="0045538C">
          <w:rPr>
            <w:rStyle w:val="Hyperlink"/>
          </w:rPr>
          <w:t>https://caseagrant.ucsd.edu/system/files/2022-06/Kelp%20Forest%20Technical%20Report%20Narrative_v2.pdf</w:t>
        </w:r>
      </w:hyperlink>
      <w:r w:rsidRPr="0045538C">
        <w:t xml:space="preserve"> </w:t>
      </w:r>
    </w:p>
    <w:p w14:paraId="06C71C61" w14:textId="77777777" w:rsidR="00910C75" w:rsidRDefault="00910C75" w:rsidP="000F3B50"/>
    <w:p w14:paraId="5EBD5664" w14:textId="4E2BF0F1" w:rsidR="000F3B50" w:rsidRDefault="000F3B50" w:rsidP="000F3B50">
      <w:r>
        <w:t>Eger, A. M., Layton, C., McHugh, T. A,</w:t>
      </w:r>
      <w:r w:rsidR="0045538C">
        <w:t xml:space="preserve"> </w:t>
      </w:r>
      <w:r>
        <w:t>Gleason, M., and Eddy, N. (2022). Kelp Restoration Guidebook: Lessons Learned</w:t>
      </w:r>
      <w:r w:rsidR="0045538C">
        <w:t xml:space="preserve"> </w:t>
      </w:r>
      <w:r>
        <w:t>from Kelp Projects Around the World. The Nature Conservancy, Arlington, VA,</w:t>
      </w:r>
    </w:p>
    <w:p w14:paraId="1E59A639" w14:textId="02872455" w:rsidR="000F3B50" w:rsidRPr="004E0EE4" w:rsidRDefault="000F3B50" w:rsidP="000F3B50">
      <w:r w:rsidRPr="002A5A05">
        <w:t>USA.</w:t>
      </w:r>
      <w:r w:rsidR="00D80F19" w:rsidRPr="002A5A05">
        <w:t xml:space="preserve"> </w:t>
      </w:r>
      <w:hyperlink r:id="rId10" w:history="1">
        <w:r w:rsidR="00D80F19" w:rsidRPr="004E0EE4">
          <w:rPr>
            <w:rStyle w:val="Hyperlink"/>
          </w:rPr>
          <w:t>https://kelpforestalliance.com/TNC-KFA-Kelp-Guidebook-2022.pdf</w:t>
        </w:r>
      </w:hyperlink>
      <w:r w:rsidR="00D80F19" w:rsidRPr="004E0EE4">
        <w:t xml:space="preserve"> </w:t>
      </w:r>
    </w:p>
    <w:p w14:paraId="166973A8" w14:textId="77777777" w:rsidR="000F3B50" w:rsidRPr="004E0EE4" w:rsidRDefault="000F3B50" w:rsidP="009D1916"/>
    <w:p w14:paraId="24223EEA" w14:textId="475B58C6" w:rsidR="009D1916" w:rsidRDefault="009D1916" w:rsidP="009D1916">
      <w:r>
        <w:t>Freiwald, J., McMillan, S. M., &amp; Abbott, D. (2021). Reef Check California Instruction Manual: A</w:t>
      </w:r>
    </w:p>
    <w:p w14:paraId="50D46216" w14:textId="77777777" w:rsidR="009D1916" w:rsidRDefault="009D1916" w:rsidP="009D1916">
      <w:r>
        <w:t>Guide to Monitoring California’s Kelp Forests, 10th Edition. Reef Check Foundation, Marina del</w:t>
      </w:r>
    </w:p>
    <w:p w14:paraId="004E9F69" w14:textId="31DDA074" w:rsidR="00FC63C2" w:rsidRPr="002A5A05" w:rsidRDefault="009D1916" w:rsidP="009D1916">
      <w:r w:rsidRPr="002A5A05">
        <w:t xml:space="preserve">Rey, CA, USA </w:t>
      </w:r>
      <w:hyperlink r:id="rId11" w:history="1">
        <w:r w:rsidR="005B5762" w:rsidRPr="002A5A05">
          <w:rPr>
            <w:rStyle w:val="Hyperlink"/>
          </w:rPr>
          <w:t>https://www.reefcheck.org/wp-content/uploads/2021/03/RCCA_Manual_10th_Edition_web.pdf</w:t>
        </w:r>
      </w:hyperlink>
      <w:r w:rsidR="005B5762" w:rsidRPr="002A5A05">
        <w:t xml:space="preserve"> </w:t>
      </w:r>
    </w:p>
    <w:p w14:paraId="25ABA852" w14:textId="77777777" w:rsidR="00C72D9B" w:rsidRPr="002A5A05" w:rsidRDefault="00C72D9B" w:rsidP="009D1916"/>
    <w:p w14:paraId="606459A4" w14:textId="77777777" w:rsidR="00910C75" w:rsidRDefault="00910C75" w:rsidP="00910C75">
      <w:r w:rsidRPr="00196AD6">
        <w:t>Ledbetter, J., and H. D. Berry. "Long-term kayak monitoring of floating kelp in Puget Sound: Results through field year 2023." </w:t>
      </w:r>
      <w:r w:rsidRPr="00196AD6">
        <w:rPr>
          <w:i/>
          <w:iCs/>
        </w:rPr>
        <w:t xml:space="preserve">Nearshore Habitat Program, Washington State Department of Natural Resources. </w:t>
      </w:r>
      <w:hyperlink r:id="rId12" w:history="1">
        <w:r w:rsidRPr="00F158CD">
          <w:rPr>
            <w:rStyle w:val="Hyperlink"/>
          </w:rPr>
          <w:t>https://dnr.wa.gov/sites/default/files/2025-07/aqr_ledbetter_2025.pdf</w:t>
        </w:r>
      </w:hyperlink>
      <w:r>
        <w:t xml:space="preserve"> </w:t>
      </w:r>
    </w:p>
    <w:p w14:paraId="3F97ED60" w14:textId="04CFCE56" w:rsidR="009E4FD0" w:rsidRPr="0045538C" w:rsidRDefault="009E4FD0" w:rsidP="00CA183A"/>
    <w:p w14:paraId="6A1964CF" w14:textId="5B425BF1" w:rsidR="00FC63C2" w:rsidRPr="00C72D9B" w:rsidRDefault="00422817" w:rsidP="00CA183A">
      <w:r>
        <w:t>“</w:t>
      </w:r>
      <w:r w:rsidRPr="00422817">
        <w:t>Monitoring, Restoration, and Research of Kelp and Other Marine Algae</w:t>
      </w:r>
      <w:r>
        <w:t>.”</w:t>
      </w:r>
      <w:r w:rsidR="005E4820">
        <w:t xml:space="preserve"> California Department of Fish and Wildlife. </w:t>
      </w:r>
      <w:hyperlink r:id="rId13" w:history="1">
        <w:r w:rsidR="00C72D9B" w:rsidRPr="00C72D9B">
          <w:rPr>
            <w:rStyle w:val="Hyperlink"/>
          </w:rPr>
          <w:t>https://wildlife.ca.gov/Conservation/Marine/Kelp/Monitoring</w:t>
        </w:r>
      </w:hyperlink>
      <w:r w:rsidR="00112B32">
        <w:t>. Accessed November 2025.</w:t>
      </w:r>
    </w:p>
    <w:p w14:paraId="50539490" w14:textId="77777777" w:rsidR="00BE0614" w:rsidRDefault="00BE0614" w:rsidP="00CA183A"/>
    <w:p w14:paraId="2148BDDF" w14:textId="369181D4" w:rsidR="00BE0614" w:rsidRDefault="0080631A" w:rsidP="00CA183A">
      <w:r>
        <w:t>“</w:t>
      </w:r>
      <w:r w:rsidRPr="0080631A">
        <w:t>Science and Methodology</w:t>
      </w:r>
      <w:r>
        <w:t xml:space="preserve">.” </w:t>
      </w:r>
      <w:r w:rsidR="00C831B4">
        <w:t>Kelpwatch.org.</w:t>
      </w:r>
      <w:r w:rsidR="001F293E">
        <w:t xml:space="preserve"> </w:t>
      </w:r>
      <w:hyperlink r:id="rId14" w:history="1">
        <w:r w:rsidR="00EA354B" w:rsidRPr="004036A1">
          <w:rPr>
            <w:rStyle w:val="Hyperlink"/>
          </w:rPr>
          <w:t>https://kelpwatch.org/methodology</w:t>
        </w:r>
      </w:hyperlink>
      <w:r w:rsidR="001F293E">
        <w:t>. Accessed November 2025.</w:t>
      </w:r>
    </w:p>
    <w:p w14:paraId="2CB1711C" w14:textId="77777777" w:rsidR="007C4B4A" w:rsidRDefault="007C4B4A" w:rsidP="00910C75"/>
    <w:sectPr w:rsidR="007C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A6"/>
    <w:multiLevelType w:val="hybridMultilevel"/>
    <w:tmpl w:val="AC18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CE9FE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615AA"/>
    <w:multiLevelType w:val="hybridMultilevel"/>
    <w:tmpl w:val="C67A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80796"/>
    <w:multiLevelType w:val="hybridMultilevel"/>
    <w:tmpl w:val="62C4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41B3"/>
    <w:multiLevelType w:val="hybridMultilevel"/>
    <w:tmpl w:val="4F26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239C2"/>
    <w:multiLevelType w:val="hybridMultilevel"/>
    <w:tmpl w:val="252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E4436"/>
    <w:multiLevelType w:val="hybridMultilevel"/>
    <w:tmpl w:val="0864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96589">
    <w:abstractNumId w:val="0"/>
  </w:num>
  <w:num w:numId="2" w16cid:durableId="886339986">
    <w:abstractNumId w:val="1"/>
  </w:num>
  <w:num w:numId="3" w16cid:durableId="675225910">
    <w:abstractNumId w:val="3"/>
  </w:num>
  <w:num w:numId="4" w16cid:durableId="1219513994">
    <w:abstractNumId w:val="2"/>
  </w:num>
  <w:num w:numId="5" w16cid:durableId="226113521">
    <w:abstractNumId w:val="4"/>
  </w:num>
  <w:num w:numId="6" w16cid:durableId="365713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3A"/>
    <w:rsid w:val="0000604F"/>
    <w:rsid w:val="00013DDC"/>
    <w:rsid w:val="00037CD8"/>
    <w:rsid w:val="00082B6B"/>
    <w:rsid w:val="00083CFC"/>
    <w:rsid w:val="00090BE9"/>
    <w:rsid w:val="0009425F"/>
    <w:rsid w:val="00096144"/>
    <w:rsid w:val="000B0991"/>
    <w:rsid w:val="000B27DD"/>
    <w:rsid w:val="000B2982"/>
    <w:rsid w:val="000D01C5"/>
    <w:rsid w:val="000D4B34"/>
    <w:rsid w:val="000F0422"/>
    <w:rsid w:val="000F3B50"/>
    <w:rsid w:val="00102EE9"/>
    <w:rsid w:val="00112B32"/>
    <w:rsid w:val="00115576"/>
    <w:rsid w:val="00127217"/>
    <w:rsid w:val="001348AC"/>
    <w:rsid w:val="00134DB3"/>
    <w:rsid w:val="00141702"/>
    <w:rsid w:val="001465F4"/>
    <w:rsid w:val="001507ED"/>
    <w:rsid w:val="001518FA"/>
    <w:rsid w:val="001572ED"/>
    <w:rsid w:val="00161F3C"/>
    <w:rsid w:val="00166503"/>
    <w:rsid w:val="00167077"/>
    <w:rsid w:val="00172C70"/>
    <w:rsid w:val="00173690"/>
    <w:rsid w:val="00177912"/>
    <w:rsid w:val="001804EB"/>
    <w:rsid w:val="00186A9C"/>
    <w:rsid w:val="0019415C"/>
    <w:rsid w:val="001966E5"/>
    <w:rsid w:val="00196AD6"/>
    <w:rsid w:val="001B4EB1"/>
    <w:rsid w:val="001B76D4"/>
    <w:rsid w:val="001B7D3C"/>
    <w:rsid w:val="001F293E"/>
    <w:rsid w:val="001F32C7"/>
    <w:rsid w:val="001F60F0"/>
    <w:rsid w:val="00201748"/>
    <w:rsid w:val="002048F1"/>
    <w:rsid w:val="00207650"/>
    <w:rsid w:val="00215AED"/>
    <w:rsid w:val="00222C18"/>
    <w:rsid w:val="002246F7"/>
    <w:rsid w:val="0024012F"/>
    <w:rsid w:val="002435D8"/>
    <w:rsid w:val="00252E6C"/>
    <w:rsid w:val="00254947"/>
    <w:rsid w:val="0025667C"/>
    <w:rsid w:val="0026506A"/>
    <w:rsid w:val="00277DC6"/>
    <w:rsid w:val="00287116"/>
    <w:rsid w:val="002A0A55"/>
    <w:rsid w:val="002A37F7"/>
    <w:rsid w:val="002A5A05"/>
    <w:rsid w:val="002A688D"/>
    <w:rsid w:val="002B1B84"/>
    <w:rsid w:val="002B6605"/>
    <w:rsid w:val="002C529E"/>
    <w:rsid w:val="002C6C39"/>
    <w:rsid w:val="002F40BD"/>
    <w:rsid w:val="003175A5"/>
    <w:rsid w:val="00322ECE"/>
    <w:rsid w:val="003232C9"/>
    <w:rsid w:val="00324A0B"/>
    <w:rsid w:val="00327BA2"/>
    <w:rsid w:val="00331728"/>
    <w:rsid w:val="003359EC"/>
    <w:rsid w:val="00351D68"/>
    <w:rsid w:val="00353E60"/>
    <w:rsid w:val="00354219"/>
    <w:rsid w:val="00363E97"/>
    <w:rsid w:val="00365B57"/>
    <w:rsid w:val="00367504"/>
    <w:rsid w:val="00375260"/>
    <w:rsid w:val="00384931"/>
    <w:rsid w:val="00393628"/>
    <w:rsid w:val="00394D95"/>
    <w:rsid w:val="00394DFB"/>
    <w:rsid w:val="003A4F4F"/>
    <w:rsid w:val="003B242C"/>
    <w:rsid w:val="003B47EC"/>
    <w:rsid w:val="003D5F64"/>
    <w:rsid w:val="003E0CB3"/>
    <w:rsid w:val="003E142C"/>
    <w:rsid w:val="003E26EB"/>
    <w:rsid w:val="003F3CD0"/>
    <w:rsid w:val="00415F5E"/>
    <w:rsid w:val="0041729B"/>
    <w:rsid w:val="00422817"/>
    <w:rsid w:val="0042562F"/>
    <w:rsid w:val="00435BD7"/>
    <w:rsid w:val="00436573"/>
    <w:rsid w:val="00440009"/>
    <w:rsid w:val="00444CB4"/>
    <w:rsid w:val="004458E1"/>
    <w:rsid w:val="0044658C"/>
    <w:rsid w:val="0045538C"/>
    <w:rsid w:val="00463D87"/>
    <w:rsid w:val="00492BE0"/>
    <w:rsid w:val="00495F73"/>
    <w:rsid w:val="004975AB"/>
    <w:rsid w:val="004A4BD6"/>
    <w:rsid w:val="004A4D8F"/>
    <w:rsid w:val="004B4CD0"/>
    <w:rsid w:val="004C02F0"/>
    <w:rsid w:val="004C6C6F"/>
    <w:rsid w:val="004C74B3"/>
    <w:rsid w:val="004D5C3C"/>
    <w:rsid w:val="004D7DE3"/>
    <w:rsid w:val="004E0EE4"/>
    <w:rsid w:val="004F1095"/>
    <w:rsid w:val="004F2BDD"/>
    <w:rsid w:val="00503324"/>
    <w:rsid w:val="0050662C"/>
    <w:rsid w:val="00506D5A"/>
    <w:rsid w:val="00510318"/>
    <w:rsid w:val="0052365E"/>
    <w:rsid w:val="00531330"/>
    <w:rsid w:val="00545EA8"/>
    <w:rsid w:val="0054755D"/>
    <w:rsid w:val="00550F40"/>
    <w:rsid w:val="005524C4"/>
    <w:rsid w:val="00575DCA"/>
    <w:rsid w:val="00580DE5"/>
    <w:rsid w:val="00585859"/>
    <w:rsid w:val="005A05CF"/>
    <w:rsid w:val="005B5762"/>
    <w:rsid w:val="005C6BAD"/>
    <w:rsid w:val="005E15CC"/>
    <w:rsid w:val="005E4820"/>
    <w:rsid w:val="005F53D4"/>
    <w:rsid w:val="00634ACD"/>
    <w:rsid w:val="00636746"/>
    <w:rsid w:val="006714EB"/>
    <w:rsid w:val="00671DCB"/>
    <w:rsid w:val="00674396"/>
    <w:rsid w:val="00675B4B"/>
    <w:rsid w:val="0069326A"/>
    <w:rsid w:val="00694835"/>
    <w:rsid w:val="006965F5"/>
    <w:rsid w:val="006A0965"/>
    <w:rsid w:val="006B2A91"/>
    <w:rsid w:val="006D1916"/>
    <w:rsid w:val="006E0A74"/>
    <w:rsid w:val="006E503E"/>
    <w:rsid w:val="00705D52"/>
    <w:rsid w:val="007066E2"/>
    <w:rsid w:val="007069F2"/>
    <w:rsid w:val="00710A11"/>
    <w:rsid w:val="0073363D"/>
    <w:rsid w:val="00746F25"/>
    <w:rsid w:val="00747666"/>
    <w:rsid w:val="00752021"/>
    <w:rsid w:val="00756280"/>
    <w:rsid w:val="00765D35"/>
    <w:rsid w:val="007868B9"/>
    <w:rsid w:val="007905DA"/>
    <w:rsid w:val="00795376"/>
    <w:rsid w:val="00797B4B"/>
    <w:rsid w:val="007A501C"/>
    <w:rsid w:val="007C4B4A"/>
    <w:rsid w:val="007D3C0E"/>
    <w:rsid w:val="007D5DFD"/>
    <w:rsid w:val="007D75F8"/>
    <w:rsid w:val="007F4A0A"/>
    <w:rsid w:val="007F658F"/>
    <w:rsid w:val="007F6773"/>
    <w:rsid w:val="0080416C"/>
    <w:rsid w:val="00804420"/>
    <w:rsid w:val="0080522F"/>
    <w:rsid w:val="0080631A"/>
    <w:rsid w:val="00810691"/>
    <w:rsid w:val="0082130F"/>
    <w:rsid w:val="008226E9"/>
    <w:rsid w:val="008362FC"/>
    <w:rsid w:val="008408DB"/>
    <w:rsid w:val="008561E1"/>
    <w:rsid w:val="0087280E"/>
    <w:rsid w:val="00872A43"/>
    <w:rsid w:val="00873D97"/>
    <w:rsid w:val="00887486"/>
    <w:rsid w:val="008B37A0"/>
    <w:rsid w:val="008C3D49"/>
    <w:rsid w:val="008C7800"/>
    <w:rsid w:val="008D4A51"/>
    <w:rsid w:val="008F0C2D"/>
    <w:rsid w:val="00907E1D"/>
    <w:rsid w:val="0091016B"/>
    <w:rsid w:val="00910C75"/>
    <w:rsid w:val="009276C6"/>
    <w:rsid w:val="009355CF"/>
    <w:rsid w:val="00942922"/>
    <w:rsid w:val="0095037E"/>
    <w:rsid w:val="00957649"/>
    <w:rsid w:val="00997D41"/>
    <w:rsid w:val="009A02B9"/>
    <w:rsid w:val="009B016C"/>
    <w:rsid w:val="009B59BB"/>
    <w:rsid w:val="009B6AAD"/>
    <w:rsid w:val="009C4471"/>
    <w:rsid w:val="009C4EC9"/>
    <w:rsid w:val="009C7034"/>
    <w:rsid w:val="009D00BD"/>
    <w:rsid w:val="009D1916"/>
    <w:rsid w:val="009D36FE"/>
    <w:rsid w:val="009E17D2"/>
    <w:rsid w:val="009E4FD0"/>
    <w:rsid w:val="00A10E83"/>
    <w:rsid w:val="00A172C9"/>
    <w:rsid w:val="00A223C5"/>
    <w:rsid w:val="00A24D85"/>
    <w:rsid w:val="00A2610B"/>
    <w:rsid w:val="00A430C5"/>
    <w:rsid w:val="00A545B4"/>
    <w:rsid w:val="00A57B71"/>
    <w:rsid w:val="00A66632"/>
    <w:rsid w:val="00A6715B"/>
    <w:rsid w:val="00A770FB"/>
    <w:rsid w:val="00A77FE2"/>
    <w:rsid w:val="00A83508"/>
    <w:rsid w:val="00A93C67"/>
    <w:rsid w:val="00A949AD"/>
    <w:rsid w:val="00AA0F31"/>
    <w:rsid w:val="00AA1B5E"/>
    <w:rsid w:val="00AA4C3D"/>
    <w:rsid w:val="00AB24B3"/>
    <w:rsid w:val="00AC3EB8"/>
    <w:rsid w:val="00AC44D0"/>
    <w:rsid w:val="00AD276D"/>
    <w:rsid w:val="00AE3312"/>
    <w:rsid w:val="00AE672E"/>
    <w:rsid w:val="00AF237B"/>
    <w:rsid w:val="00AF57C0"/>
    <w:rsid w:val="00B05959"/>
    <w:rsid w:val="00B109A8"/>
    <w:rsid w:val="00B10F54"/>
    <w:rsid w:val="00B20B29"/>
    <w:rsid w:val="00B23ADF"/>
    <w:rsid w:val="00B26C4B"/>
    <w:rsid w:val="00B31F9C"/>
    <w:rsid w:val="00B40698"/>
    <w:rsid w:val="00B41536"/>
    <w:rsid w:val="00B41815"/>
    <w:rsid w:val="00B41AFB"/>
    <w:rsid w:val="00B52A92"/>
    <w:rsid w:val="00B60A01"/>
    <w:rsid w:val="00B60BBF"/>
    <w:rsid w:val="00B6272C"/>
    <w:rsid w:val="00B84B03"/>
    <w:rsid w:val="00BA093C"/>
    <w:rsid w:val="00BA19B3"/>
    <w:rsid w:val="00BA356E"/>
    <w:rsid w:val="00BA4FF7"/>
    <w:rsid w:val="00BA794A"/>
    <w:rsid w:val="00BB68C6"/>
    <w:rsid w:val="00BC4FD3"/>
    <w:rsid w:val="00BC69FF"/>
    <w:rsid w:val="00BC74D9"/>
    <w:rsid w:val="00BD63A9"/>
    <w:rsid w:val="00BD6CB8"/>
    <w:rsid w:val="00BE0614"/>
    <w:rsid w:val="00C03EB7"/>
    <w:rsid w:val="00C17090"/>
    <w:rsid w:val="00C21E76"/>
    <w:rsid w:val="00C26229"/>
    <w:rsid w:val="00C451CC"/>
    <w:rsid w:val="00C5089F"/>
    <w:rsid w:val="00C52BB9"/>
    <w:rsid w:val="00C570B9"/>
    <w:rsid w:val="00C6033C"/>
    <w:rsid w:val="00C64CD5"/>
    <w:rsid w:val="00C72D9B"/>
    <w:rsid w:val="00C74BFA"/>
    <w:rsid w:val="00C77737"/>
    <w:rsid w:val="00C831B4"/>
    <w:rsid w:val="00C933F4"/>
    <w:rsid w:val="00C95F87"/>
    <w:rsid w:val="00CA183A"/>
    <w:rsid w:val="00CB0E6C"/>
    <w:rsid w:val="00CC7755"/>
    <w:rsid w:val="00CC7D1A"/>
    <w:rsid w:val="00CD079F"/>
    <w:rsid w:val="00CD381D"/>
    <w:rsid w:val="00CE16E7"/>
    <w:rsid w:val="00CF1335"/>
    <w:rsid w:val="00CF5FE7"/>
    <w:rsid w:val="00CF7529"/>
    <w:rsid w:val="00D071E1"/>
    <w:rsid w:val="00D1713D"/>
    <w:rsid w:val="00D32562"/>
    <w:rsid w:val="00D41DA8"/>
    <w:rsid w:val="00D45C2D"/>
    <w:rsid w:val="00D47A7E"/>
    <w:rsid w:val="00D757E0"/>
    <w:rsid w:val="00D77977"/>
    <w:rsid w:val="00D80F19"/>
    <w:rsid w:val="00D839FC"/>
    <w:rsid w:val="00D84577"/>
    <w:rsid w:val="00DA204C"/>
    <w:rsid w:val="00DD15D0"/>
    <w:rsid w:val="00DD3B47"/>
    <w:rsid w:val="00DD798A"/>
    <w:rsid w:val="00DF0F70"/>
    <w:rsid w:val="00DF5AA1"/>
    <w:rsid w:val="00DF7F59"/>
    <w:rsid w:val="00E056B6"/>
    <w:rsid w:val="00E07517"/>
    <w:rsid w:val="00E1668F"/>
    <w:rsid w:val="00E170E0"/>
    <w:rsid w:val="00E206E0"/>
    <w:rsid w:val="00E32277"/>
    <w:rsid w:val="00E425D7"/>
    <w:rsid w:val="00E42A6F"/>
    <w:rsid w:val="00E46216"/>
    <w:rsid w:val="00E508EA"/>
    <w:rsid w:val="00E7466D"/>
    <w:rsid w:val="00E811DB"/>
    <w:rsid w:val="00E90DFA"/>
    <w:rsid w:val="00E91BE2"/>
    <w:rsid w:val="00E9670A"/>
    <w:rsid w:val="00EA20E7"/>
    <w:rsid w:val="00EA354B"/>
    <w:rsid w:val="00EB28EB"/>
    <w:rsid w:val="00EC4281"/>
    <w:rsid w:val="00EC55F1"/>
    <w:rsid w:val="00ED2961"/>
    <w:rsid w:val="00ED3813"/>
    <w:rsid w:val="00EF5E5C"/>
    <w:rsid w:val="00F00148"/>
    <w:rsid w:val="00F007EB"/>
    <w:rsid w:val="00F00B81"/>
    <w:rsid w:val="00F04F7C"/>
    <w:rsid w:val="00F13464"/>
    <w:rsid w:val="00F158CD"/>
    <w:rsid w:val="00F1595C"/>
    <w:rsid w:val="00F20BA4"/>
    <w:rsid w:val="00F217AF"/>
    <w:rsid w:val="00F8123A"/>
    <w:rsid w:val="00F82906"/>
    <w:rsid w:val="00F90D0E"/>
    <w:rsid w:val="00FA0B50"/>
    <w:rsid w:val="00FA3C82"/>
    <w:rsid w:val="00FB14F3"/>
    <w:rsid w:val="00FB1DE4"/>
    <w:rsid w:val="00FC089C"/>
    <w:rsid w:val="00FC63C2"/>
    <w:rsid w:val="00FC677F"/>
    <w:rsid w:val="00FD5CED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3772"/>
  <w15:chartTrackingRefBased/>
  <w15:docId w15:val="{6A8A3F0C-354A-44B4-B6FF-786251DE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A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A1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1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3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0765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6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AA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AA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C6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ldlife.ca.gov/Conservation/Marine/Kelp/Monito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nr.wa.gov/sites/default/files/2025-07/aqr_ledbetter_202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efcheck.org/wp-content/uploads/2021/03/RCCA_Manual_10th_Edition_web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kelpforestalliance.com/TNC-KFA-Kelp-Guidebook-2022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aseagrant.ucsd.edu/system/files/2022-06/Kelp%20Forest%20Technical%20Report%20Narrative_v2.pdf" TargetMode="External"/><Relationship Id="rId14" Type="http://schemas.openxmlformats.org/officeDocument/2006/relationships/hyperlink" Target="https://kelpwatch.org/method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6B0999B1458439C9A71A81A22CF4E" ma:contentTypeVersion="18" ma:contentTypeDescription="Create a new document." ma:contentTypeScope="" ma:versionID="77f18dc5b3835edab9bd8227c6f1693a">
  <xsd:schema xmlns:xsd="http://www.w3.org/2001/XMLSchema" xmlns:xs="http://www.w3.org/2001/XMLSchema" xmlns:p="http://schemas.microsoft.com/office/2006/metadata/properties" xmlns:ns2="0feee936-70df-4d92-b2c4-5081388f516e" xmlns:ns3="8da4cdfb-c0f5-40e8-803b-e051e5a83e28" targetNamespace="http://schemas.microsoft.com/office/2006/metadata/properties" ma:root="true" ma:fieldsID="b9cd8d878e0f2574b6f4d94d82037119" ns2:_="" ns3:_="">
    <xsd:import namespace="0feee936-70df-4d92-b2c4-5081388f516e"/>
    <xsd:import namespace="8da4cdfb-c0f5-40e8-803b-e051e5a83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e936-70df-4d92-b2c4-5081388f5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4cdfb-c0f5-40e8-803b-e051e5a83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17ef64-8842-44b9-b91d-54ae595a3e97}" ma:internalName="TaxCatchAll" ma:showField="CatchAllData" ma:web="8da4cdfb-c0f5-40e8-803b-e051e5a83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ee936-70df-4d92-b2c4-5081388f516e">
      <Terms xmlns="http://schemas.microsoft.com/office/infopath/2007/PartnerControls"/>
    </lcf76f155ced4ddcb4097134ff3c332f>
    <TaxCatchAll xmlns="8da4cdfb-c0f5-40e8-803b-e051e5a83e28" xsi:nil="true"/>
  </documentManagement>
</p:properties>
</file>

<file path=customXml/itemProps1.xml><?xml version="1.0" encoding="utf-8"?>
<ds:datastoreItem xmlns:ds="http://schemas.openxmlformats.org/officeDocument/2006/customXml" ds:itemID="{C2A79C5D-1F36-458D-82F9-C5C4C26EC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ee936-70df-4d92-b2c4-5081388f516e"/>
    <ds:schemaRef ds:uri="8da4cdfb-c0f5-40e8-803b-e051e5a8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38E60-C078-4228-AF08-D567CC71B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657AE-5EF3-4C3C-837C-43303040C1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1508C-FC93-43EB-B371-1F9EBB977644}">
  <ds:schemaRefs>
    <ds:schemaRef ds:uri="http://schemas.microsoft.com/office/2006/metadata/properties"/>
    <ds:schemaRef ds:uri="http://schemas.microsoft.com/office/infopath/2007/PartnerControls"/>
    <ds:schemaRef ds:uri="0feee936-70df-4d92-b2c4-5081388f516e"/>
    <ds:schemaRef ds:uri="8da4cdfb-c0f5-40e8-803b-e051e5a83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8416</TotalTime>
  <Pages>2</Pages>
  <Words>670</Words>
  <Characters>4430</Characters>
  <Application>Microsoft Office Word</Application>
  <DocSecurity>0</DocSecurity>
  <Lines>108</Lines>
  <Paragraphs>73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Littlewood</dc:creator>
  <cp:keywords/>
  <dc:description/>
  <cp:lastModifiedBy>Ryan Littlewood</cp:lastModifiedBy>
  <cp:revision>346</cp:revision>
  <dcterms:created xsi:type="dcterms:W3CDTF">2025-08-26T16:47:00Z</dcterms:created>
  <dcterms:modified xsi:type="dcterms:W3CDTF">2025-12-01T05:36:00Z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0x0101001236B0999B1458439C9A71A81A22CF4E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